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2A6C0" w14:textId="31CD3584" w:rsidR="00FB67A6" w:rsidRPr="00ED5E2F" w:rsidRDefault="00FB67A6" w:rsidP="00FB67A6">
      <w:pPr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ED5E2F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4472B3" w:rsidRPr="00ED5E2F">
        <w:rPr>
          <w:rFonts w:ascii="Times New Roman" w:hAnsi="Times New Roman" w:cs="Times New Roman"/>
          <w:b/>
          <w:i/>
          <w:sz w:val="24"/>
          <w:szCs w:val="24"/>
          <w:lang w:val="en-US"/>
        </w:rPr>
        <w:t>8</w:t>
      </w:r>
    </w:p>
    <w:p w14:paraId="25040CD6" w14:textId="77777777" w:rsidR="00FB67A6" w:rsidRPr="00ED5E2F" w:rsidRDefault="00FB67A6" w:rsidP="00FB67A6">
      <w:pPr>
        <w:rPr>
          <w:rFonts w:ascii="Times New Roman" w:hAnsi="Times New Roman" w:cs="Times New Roman"/>
          <w:sz w:val="24"/>
          <w:szCs w:val="24"/>
        </w:rPr>
      </w:pPr>
    </w:p>
    <w:p w14:paraId="63E6F68E" w14:textId="1507E970" w:rsidR="00656FCF" w:rsidRPr="0071426D" w:rsidRDefault="00FB67A6" w:rsidP="00D77738">
      <w:pPr>
        <w:spacing w:after="0"/>
        <w:ind w:right="-284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</w:pP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Описание</w:t>
      </w:r>
      <w:r w:rsidR="004472B3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на 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>индикатори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те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за 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краен продукт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и резултат, </w:t>
      </w:r>
    </w:p>
    <w:p w14:paraId="67A27C1A" w14:textId="58319B3F" w:rsidR="00FB67A6" w:rsidRPr="00D77738" w:rsidRDefault="00FB67A6" w:rsidP="00D77738">
      <w:pPr>
        <w:spacing w:after="0"/>
        <w:ind w:right="-284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</w:pP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>приложими към процедура</w:t>
      </w:r>
      <w:r w:rsidR="004472B3" w:rsidRPr="0071426D">
        <w:rPr>
          <w:caps/>
        </w:rPr>
        <w:t xml:space="preserve"> </w:t>
      </w:r>
      <w:r w:rsidR="004472B3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чрез подбор на проектни предложения </w:t>
      </w:r>
      <w:r w:rsidR="003D42A1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>BG16RFPR001-1.008 „Въвеждане на технологии от областта на Индустрия 4.0 в предприятията“</w:t>
      </w:r>
      <w:r w:rsidR="00E70625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</w:t>
      </w:r>
      <w:r w:rsidR="00E70625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по ПКИП</w:t>
      </w:r>
      <w:r w:rsidR="00E70625" w:rsidRPr="0071426D">
        <w:rPr>
          <w:rStyle w:val="FootnoteReference"/>
          <w:rFonts w:ascii="Times New Roman" w:eastAsia="Times New Roman" w:hAnsi="Times New Roman" w:cs="Times New Roman"/>
          <w:b/>
          <w:bCs/>
          <w:caps/>
          <w:sz w:val="24"/>
          <w:szCs w:val="24"/>
        </w:rPr>
        <w:footnoteReference w:id="1"/>
      </w:r>
    </w:p>
    <w:p w14:paraId="1E50E239" w14:textId="43867E2F" w:rsidR="00BD1A7A" w:rsidRDefault="00BD1A7A" w:rsidP="00BD1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19A3B81A" w14:textId="77777777" w:rsidR="008E2F40" w:rsidRPr="00ED5E2F" w:rsidRDefault="008E2F40" w:rsidP="00BD1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23108787" w14:textId="77777777" w:rsidR="0054607E" w:rsidRDefault="00651EA7" w:rsidP="00D77738">
      <w:pPr>
        <w:tabs>
          <w:tab w:val="left" w:pos="3600"/>
        </w:tabs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5E2F">
        <w:rPr>
          <w:rFonts w:ascii="Times New Roman" w:hAnsi="Times New Roman" w:cs="Times New Roman"/>
          <w:sz w:val="24"/>
          <w:szCs w:val="24"/>
        </w:rPr>
        <w:t xml:space="preserve">Бюджетът на процедура </w:t>
      </w:r>
      <w:r w:rsidR="00EB2A77" w:rsidRPr="00ED5E2F">
        <w:rPr>
          <w:rFonts w:ascii="Times New Roman" w:hAnsi="Times New Roman" w:cs="Times New Roman"/>
          <w:sz w:val="24"/>
          <w:szCs w:val="24"/>
        </w:rPr>
        <w:t>B</w:t>
      </w:r>
      <w:r w:rsidR="003D42A1" w:rsidRPr="003D42A1">
        <w:t xml:space="preserve"> </w:t>
      </w:r>
      <w:r w:rsidR="003D42A1" w:rsidRPr="003D42A1">
        <w:rPr>
          <w:rFonts w:ascii="Times New Roman" w:hAnsi="Times New Roman" w:cs="Times New Roman"/>
          <w:sz w:val="24"/>
          <w:szCs w:val="24"/>
        </w:rPr>
        <w:t>BG16RFPR001-1.0</w:t>
      </w:r>
      <w:bookmarkStart w:id="0" w:name="_GoBack"/>
      <w:bookmarkEnd w:id="0"/>
      <w:r w:rsidR="003D42A1" w:rsidRPr="003D42A1">
        <w:rPr>
          <w:rFonts w:ascii="Times New Roman" w:hAnsi="Times New Roman" w:cs="Times New Roman"/>
          <w:sz w:val="24"/>
          <w:szCs w:val="24"/>
        </w:rPr>
        <w:t>08 „Въвеждане на технологии от областта на Индустрия 4.0 в предприятията“</w:t>
      </w:r>
      <w:r w:rsidR="00EB2A77" w:rsidRPr="00ED5E2F">
        <w:rPr>
          <w:rFonts w:ascii="Times New Roman" w:hAnsi="Times New Roman" w:cs="Times New Roman"/>
          <w:sz w:val="24"/>
          <w:szCs w:val="24"/>
        </w:rPr>
        <w:t xml:space="preserve"> </w:t>
      </w:r>
      <w:r w:rsidRPr="00ED5E2F">
        <w:rPr>
          <w:rFonts w:ascii="Times New Roman" w:hAnsi="Times New Roman" w:cs="Times New Roman"/>
          <w:sz w:val="24"/>
          <w:szCs w:val="24"/>
        </w:rPr>
        <w:t xml:space="preserve">е осигурен по линия на </w:t>
      </w:r>
      <w:r w:rsidR="003D42A1">
        <w:rPr>
          <w:rFonts w:ascii="Times New Roman" w:hAnsi="Times New Roman" w:cs="Times New Roman"/>
          <w:sz w:val="24"/>
          <w:szCs w:val="24"/>
        </w:rPr>
        <w:t>един</w:t>
      </w:r>
      <w:r w:rsidRPr="00ED5E2F">
        <w:rPr>
          <w:rFonts w:ascii="Times New Roman" w:hAnsi="Times New Roman" w:cs="Times New Roman"/>
          <w:sz w:val="24"/>
          <w:szCs w:val="24"/>
        </w:rPr>
        <w:t xml:space="preserve"> от приоритетите на </w:t>
      </w:r>
      <w:r w:rsidR="00EB2A77" w:rsidRPr="00ED5E2F">
        <w:rPr>
          <w:rFonts w:ascii="Times New Roman" w:hAnsi="Times New Roman" w:cs="Times New Roman"/>
          <w:sz w:val="24"/>
          <w:szCs w:val="24"/>
        </w:rPr>
        <w:t>Програма „Конкурентоспособност и иновации в предприятията“ 2021-2027 г. (ПКИП), а именно:</w:t>
      </w:r>
      <w:r w:rsidRPr="00ED5E2F">
        <w:rPr>
          <w:rFonts w:ascii="Times New Roman" w:hAnsi="Times New Roman" w:cs="Times New Roman"/>
          <w:sz w:val="24"/>
          <w:szCs w:val="24"/>
        </w:rPr>
        <w:t xml:space="preserve"> </w:t>
      </w:r>
      <w:r w:rsidR="00701CC2" w:rsidRPr="00ED5E2F">
        <w:rPr>
          <w:rFonts w:ascii="Times New Roman" w:hAnsi="Times New Roman" w:cs="Times New Roman"/>
          <w:sz w:val="24"/>
          <w:szCs w:val="24"/>
        </w:rPr>
        <w:t xml:space="preserve">Приоритет: 1. Иновации и растеж, Специфична цел: </w:t>
      </w:r>
      <w:r w:rsidR="003D42A1" w:rsidRPr="003D42A1">
        <w:rPr>
          <w:rFonts w:ascii="Times New Roman" w:hAnsi="Times New Roman" w:cs="Times New Roman"/>
          <w:sz w:val="24"/>
          <w:szCs w:val="24"/>
        </w:rPr>
        <w:t>RSO1.2. Усвояване на ползите от цифровизацията за гражданите, дружествата, изследователските организации и публичните органи</w:t>
      </w:r>
      <w:r w:rsidR="00701CC2" w:rsidRPr="00ED5E2F">
        <w:rPr>
          <w:rFonts w:ascii="Times New Roman" w:hAnsi="Times New Roman" w:cs="Times New Roman"/>
          <w:sz w:val="24"/>
          <w:szCs w:val="24"/>
        </w:rPr>
        <w:t xml:space="preserve"> (ЕФРР).</w:t>
      </w:r>
    </w:p>
    <w:p w14:paraId="5CE14757" w14:textId="45CF599F" w:rsidR="003969A2" w:rsidRDefault="00BA7F11" w:rsidP="0038450B">
      <w:pPr>
        <w:tabs>
          <w:tab w:val="left" w:pos="3600"/>
        </w:tabs>
        <w:spacing w:line="240" w:lineRule="auto"/>
        <w:ind w:right="-284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sz w:val="24"/>
          <w:szCs w:val="24"/>
        </w:rPr>
        <w:t xml:space="preserve">В рамките на </w:t>
      </w:r>
      <w:r w:rsidR="00701CC2" w:rsidRPr="00ED5E2F">
        <w:rPr>
          <w:rFonts w:ascii="Times New Roman" w:hAnsi="Times New Roman" w:cs="Times New Roman"/>
          <w:sz w:val="24"/>
          <w:szCs w:val="24"/>
        </w:rPr>
        <w:t xml:space="preserve">настоящото </w:t>
      </w:r>
      <w:r w:rsidRPr="00ED5E2F">
        <w:rPr>
          <w:rFonts w:ascii="Times New Roman" w:hAnsi="Times New Roman" w:cs="Times New Roman"/>
          <w:sz w:val="24"/>
          <w:szCs w:val="24"/>
        </w:rPr>
        <w:t xml:space="preserve">приложение е представено описание </w:t>
      </w:r>
      <w:r w:rsidR="00F34007" w:rsidRPr="00ED5E2F">
        <w:rPr>
          <w:rFonts w:ascii="Times New Roman" w:hAnsi="Times New Roman" w:cs="Times New Roman"/>
          <w:sz w:val="24"/>
          <w:szCs w:val="24"/>
        </w:rPr>
        <w:t xml:space="preserve">на </w:t>
      </w:r>
      <w:r w:rsidR="00843E07" w:rsidRPr="00ED5E2F">
        <w:rPr>
          <w:rFonts w:ascii="Times New Roman" w:hAnsi="Times New Roman" w:cs="Times New Roman"/>
          <w:sz w:val="24"/>
          <w:szCs w:val="24"/>
        </w:rPr>
        <w:t>приложимите по процедурата</w:t>
      </w:r>
      <w:r w:rsidR="00F34007" w:rsidRPr="00ED5E2F">
        <w:rPr>
          <w:rFonts w:ascii="Times New Roman" w:hAnsi="Times New Roman" w:cs="Times New Roman"/>
          <w:sz w:val="24"/>
          <w:szCs w:val="24"/>
        </w:rPr>
        <w:t xml:space="preserve"> индикатори.</w:t>
      </w:r>
    </w:p>
    <w:p w14:paraId="57627182" w14:textId="77777777" w:rsidR="00B455C0" w:rsidRPr="00ED5E2F" w:rsidRDefault="00B455C0" w:rsidP="0023211E">
      <w:pPr>
        <w:tabs>
          <w:tab w:val="left" w:pos="36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4"/>
        <w:gridCol w:w="6637"/>
      </w:tblGrid>
      <w:tr w:rsidR="00BD1A7A" w:rsidRPr="00ED5E2F" w14:paraId="04E011A8" w14:textId="77777777" w:rsidTr="008E2F40">
        <w:trPr>
          <w:trHeight w:val="340"/>
        </w:trPr>
        <w:tc>
          <w:tcPr>
            <w:tcW w:w="2714" w:type="dxa"/>
            <w:shd w:val="clear" w:color="auto" w:fill="C5D9F0"/>
            <w:vAlign w:val="center"/>
          </w:tcPr>
          <w:p w14:paraId="589CF0BA" w14:textId="77777777" w:rsidR="00BD1A7A" w:rsidRPr="00ED5E2F" w:rsidRDefault="00BD1A7A" w:rsidP="000C71D3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637" w:type="dxa"/>
            <w:shd w:val="clear" w:color="auto" w:fill="C5D9F0"/>
            <w:vAlign w:val="center"/>
          </w:tcPr>
          <w:p w14:paraId="17CBEA16" w14:textId="0E7ABB14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Данни за и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7E82815E" w14:textId="77777777" w:rsidTr="0038450B">
        <w:trPr>
          <w:trHeight w:val="294"/>
        </w:trPr>
        <w:tc>
          <w:tcPr>
            <w:tcW w:w="2714" w:type="dxa"/>
            <w:vAlign w:val="center"/>
          </w:tcPr>
          <w:p w14:paraId="06BCA47B" w14:textId="77777777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637" w:type="dxa"/>
            <w:vAlign w:val="center"/>
          </w:tcPr>
          <w:p w14:paraId="0DFEAEBF" w14:textId="3E4354F4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Европейския фонд за регионално развитие (ЕФРР)</w:t>
            </w:r>
          </w:p>
        </w:tc>
      </w:tr>
      <w:tr w:rsidR="00BD1A7A" w:rsidRPr="00ED5E2F" w14:paraId="75D288E0" w14:textId="77777777" w:rsidTr="0038450B">
        <w:trPr>
          <w:trHeight w:val="292"/>
        </w:trPr>
        <w:tc>
          <w:tcPr>
            <w:tcW w:w="2714" w:type="dxa"/>
            <w:vAlign w:val="center"/>
          </w:tcPr>
          <w:p w14:paraId="63BECE7A" w14:textId="19143C8A" w:rsidR="00BD1A7A" w:rsidRPr="00ED5E2F" w:rsidRDefault="00BD1A7A" w:rsidP="00654B71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637" w:type="dxa"/>
            <w:vAlign w:val="center"/>
          </w:tcPr>
          <w:p w14:paraId="2A03FB75" w14:textId="77777777" w:rsidR="00BD1A7A" w:rsidRPr="00ED5E2F" w:rsidRDefault="00BD1A7A" w:rsidP="004B521C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RCO01</w:t>
            </w:r>
          </w:p>
        </w:tc>
      </w:tr>
      <w:tr w:rsidR="00BD1A7A" w:rsidRPr="00ED5E2F" w14:paraId="21FEB8BD" w14:textId="77777777" w:rsidTr="0038450B">
        <w:trPr>
          <w:trHeight w:val="294"/>
        </w:trPr>
        <w:tc>
          <w:tcPr>
            <w:tcW w:w="2714" w:type="dxa"/>
            <w:vAlign w:val="center"/>
          </w:tcPr>
          <w:p w14:paraId="4909E566" w14:textId="381EF201" w:rsidR="00BD1A7A" w:rsidRPr="00727B55" w:rsidRDefault="00BD1A7A" w:rsidP="00654B71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637" w:type="dxa"/>
            <w:vAlign w:val="center"/>
          </w:tcPr>
          <w:p w14:paraId="1BB24B48" w14:textId="64EEFD1F" w:rsidR="00BD1A7A" w:rsidRPr="00727B55" w:rsidRDefault="00BD1A7A" w:rsidP="004B521C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Подпомaгани</w:t>
            </w:r>
            <w:proofErr w:type="spellEnd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предприятия</w:t>
            </w:r>
            <w:r w:rsidRPr="00727B55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(в </w:t>
            </w:r>
            <w:proofErr w:type="spellStart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т.ч</w:t>
            </w:r>
            <w:proofErr w:type="spellEnd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.: </w:t>
            </w:r>
            <w:proofErr w:type="spellStart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микро</w:t>
            </w:r>
            <w:proofErr w:type="spellEnd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-, </w:t>
            </w:r>
            <w:proofErr w:type="spellStart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малки</w:t>
            </w:r>
            <w:proofErr w:type="spellEnd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средни</w:t>
            </w:r>
            <w:proofErr w:type="spellEnd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големи</w:t>
            </w:r>
            <w:proofErr w:type="spellEnd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предприятия</w:t>
            </w:r>
            <w:proofErr w:type="spellEnd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  <w:r w:rsidR="003A61C0">
              <w:rPr>
                <w:rStyle w:val="FootnoteReference"/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footnoteReference w:id="2"/>
            </w:r>
          </w:p>
        </w:tc>
      </w:tr>
      <w:tr w:rsidR="00BD1A7A" w:rsidRPr="00ED5E2F" w14:paraId="7DDB68D1" w14:textId="77777777" w:rsidTr="0038450B">
        <w:trPr>
          <w:trHeight w:val="291"/>
        </w:trPr>
        <w:tc>
          <w:tcPr>
            <w:tcW w:w="2714" w:type="dxa"/>
            <w:vAlign w:val="center"/>
          </w:tcPr>
          <w:p w14:paraId="0EEA0C0A" w14:textId="77777777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637" w:type="dxa"/>
            <w:vAlign w:val="center"/>
          </w:tcPr>
          <w:p w14:paraId="43DC84B2" w14:textId="5732F0F3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редприятия</w:t>
            </w:r>
            <w:proofErr w:type="spellEnd"/>
          </w:p>
        </w:tc>
      </w:tr>
      <w:tr w:rsidR="00BD1A7A" w:rsidRPr="00ED5E2F" w14:paraId="17B381DD" w14:textId="77777777" w:rsidTr="0038450B">
        <w:trPr>
          <w:trHeight w:val="292"/>
        </w:trPr>
        <w:tc>
          <w:tcPr>
            <w:tcW w:w="2714" w:type="dxa"/>
            <w:vAlign w:val="center"/>
          </w:tcPr>
          <w:p w14:paraId="72EE5B1C" w14:textId="77777777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637" w:type="dxa"/>
            <w:vAlign w:val="center"/>
          </w:tcPr>
          <w:p w14:paraId="3D2A3802" w14:textId="77777777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BD1A7A" w:rsidRPr="00ED5E2F" w14:paraId="080FFE51" w14:textId="77777777" w:rsidTr="0038450B">
        <w:trPr>
          <w:trHeight w:val="292"/>
        </w:trPr>
        <w:tc>
          <w:tcPr>
            <w:tcW w:w="2714" w:type="dxa"/>
            <w:vAlign w:val="center"/>
          </w:tcPr>
          <w:p w14:paraId="2D7D2CEA" w14:textId="77777777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6637" w:type="dxa"/>
            <w:vAlign w:val="center"/>
          </w:tcPr>
          <w:p w14:paraId="3630C55B" w14:textId="77777777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BD1A7A" w:rsidRPr="00ED5E2F" w14:paraId="7D58EED4" w14:textId="77777777" w:rsidTr="0038450B">
        <w:trPr>
          <w:trHeight w:val="292"/>
        </w:trPr>
        <w:tc>
          <w:tcPr>
            <w:tcW w:w="2714" w:type="dxa"/>
            <w:vAlign w:val="center"/>
          </w:tcPr>
          <w:p w14:paraId="2F17D961" w14:textId="62A40AD3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37" w:type="dxa"/>
            <w:vAlign w:val="center"/>
          </w:tcPr>
          <w:p w14:paraId="40FB2220" w14:textId="083C82CE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система на УО/Финален отчет</w:t>
            </w:r>
          </w:p>
        </w:tc>
      </w:tr>
      <w:tr w:rsidR="00BD1A7A" w:rsidRPr="00ED5E2F" w14:paraId="73A5AAA5" w14:textId="77777777" w:rsidTr="0038450B">
        <w:trPr>
          <w:trHeight w:val="292"/>
        </w:trPr>
        <w:tc>
          <w:tcPr>
            <w:tcW w:w="2714" w:type="dxa"/>
            <w:vAlign w:val="center"/>
          </w:tcPr>
          <w:p w14:paraId="7C1EF985" w14:textId="290D9728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37" w:type="dxa"/>
            <w:vAlign w:val="center"/>
          </w:tcPr>
          <w:p w14:paraId="4B576AB6" w14:textId="1180BCE5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EB7104" w:rsidRPr="00ED5E2F" w14:paraId="74FAD3E4" w14:textId="77777777" w:rsidTr="00644DFD">
        <w:trPr>
          <w:trHeight w:val="10058"/>
        </w:trPr>
        <w:tc>
          <w:tcPr>
            <w:tcW w:w="2714" w:type="dxa"/>
            <w:vAlign w:val="center"/>
          </w:tcPr>
          <w:p w14:paraId="47CAABCA" w14:textId="737151AC" w:rsidR="00EB7104" w:rsidRPr="00ED5E2F" w:rsidRDefault="00EB7104" w:rsidP="00EB710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Документи за отчитане на индикатора</w:t>
            </w:r>
          </w:p>
        </w:tc>
        <w:tc>
          <w:tcPr>
            <w:tcW w:w="6637" w:type="dxa"/>
            <w:vAlign w:val="center"/>
          </w:tcPr>
          <w:p w14:paraId="3ECB7A51" w14:textId="77777777" w:rsidR="00E81E4A" w:rsidRPr="00B32F7E" w:rsidRDefault="00E81E4A" w:rsidP="00E81E4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32F7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 по проекта</w:t>
            </w:r>
          </w:p>
          <w:p w14:paraId="1F203CE9" w14:textId="77777777" w:rsidR="00E81E4A" w:rsidRPr="00B32F7E" w:rsidRDefault="00E81E4A" w:rsidP="00E81E4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32F7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Договор за доставка на ДМА/ДНА, приемо-предавателен протокол за доставка на ДМА/ДНА, подписан от бенефициента и изпълнителя;</w:t>
            </w:r>
          </w:p>
          <w:p w14:paraId="32CD7510" w14:textId="77777777" w:rsidR="00E81E4A" w:rsidRPr="00B32F7E" w:rsidRDefault="00E81E4A" w:rsidP="00E81E4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32F7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Документация за удостоверяване съответствието на функционалностите на реално доставените активи с допустимите по процедурата и със заложените по проекта: напр. лиценз/ протокол/ ръководство за функциониране и др., издадени от производител /доставчик </w:t>
            </w:r>
            <w:r w:rsidRPr="00B32F7E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(ако е приложимо в зависимост от спецификата на</w:t>
            </w:r>
            <w:r w:rsidRPr="00B32F7E">
              <w:t xml:space="preserve"> </w:t>
            </w:r>
            <w:r w:rsidRPr="00B32F7E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съответната технология/актив</w:t>
            </w:r>
            <w:r w:rsidRPr="00B32F7E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  <w:lang w:val="en-US"/>
              </w:rPr>
              <w:t>)</w:t>
            </w:r>
            <w:r w:rsidRPr="00B32F7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;</w:t>
            </w:r>
          </w:p>
          <w:p w14:paraId="0F10A60E" w14:textId="74C5F3FD" w:rsidR="00E81E4A" w:rsidRPr="00B32F7E" w:rsidRDefault="00E81E4A" w:rsidP="00E81E4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32F7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Снимки на екран (</w:t>
            </w:r>
            <w:proofErr w:type="spellStart"/>
            <w:r w:rsidRPr="00B32F7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screenshot</w:t>
            </w:r>
            <w:proofErr w:type="spellEnd"/>
            <w:r w:rsidRPr="00B32F7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), от които да са видими: производител; наименование, версия, сериен номер на продукта (номер на лиценз); снимка на екрана за вход в системата (login); заглавна страница; основни менюта, функции и възможности на доставен/и активи; записи на въведена/ генерирана информация в системата </w:t>
            </w:r>
            <w:r w:rsidRPr="00B32F7E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(ако е приложимо в зависимост от спецификата на съответната технология</w:t>
            </w:r>
            <w:r w:rsidRPr="00B32F7E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  <w:lang w:val="en-US"/>
              </w:rPr>
              <w:t>/</w:t>
            </w:r>
            <w:r w:rsidRPr="00B32F7E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актив</w:t>
            </w:r>
            <w:r w:rsidRPr="00B32F7E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  <w:lang w:val="en-US"/>
              </w:rPr>
              <w:t>)</w:t>
            </w:r>
            <w:r w:rsidRPr="00B32F7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;</w:t>
            </w:r>
          </w:p>
          <w:p w14:paraId="0CBF2641" w14:textId="77777777" w:rsidR="00E81E4A" w:rsidRPr="00B32F7E" w:rsidRDefault="00E81E4A" w:rsidP="00E81E4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32F7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При доставка на физически актив – инвентарна книга/амортизационен план, снимки на въведения в експлоатация актив, вкл. на сериен номер, марка и модел;</w:t>
            </w:r>
          </w:p>
          <w:p w14:paraId="1C2B43D0" w14:textId="77777777" w:rsidR="00E81E4A" w:rsidRPr="00B32F7E" w:rsidRDefault="00E81E4A" w:rsidP="00E81E4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32F7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Документи, удостоверяващи изградена и разписана съответна организация в дружеството, във връзка с внедрените нови технологии от Индустрия 4.0, например наръчници, правила, заповеди на ръководителя, справки от ERP системи, оперативни и мениджърски отчети, процесни карти, процедури и инструкции, информация от системите за ISO и други приложими вътрешнофирмени документи.</w:t>
            </w:r>
          </w:p>
          <w:p w14:paraId="42D53EE1" w14:textId="77777777" w:rsidR="00E81E4A" w:rsidRPr="00B32F7E" w:rsidRDefault="00E81E4A" w:rsidP="00E81E4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32F7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При въвеждане и сертифициране на система за управление на сигурността на информацията съгласно изискванията на международния стандарт БДС ISO/IEC 27001, за отчитането на индикатора се представят и следните документи:</w:t>
            </w:r>
          </w:p>
          <w:p w14:paraId="09DA200C" w14:textId="77777777" w:rsidR="00E81E4A" w:rsidRPr="00B32F7E" w:rsidRDefault="00E81E4A" w:rsidP="00E81E4A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32F7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Разработени документи към системата за управление на сигурността на информацията (наръчник, процедури, документи, доклади и т. н);</w:t>
            </w:r>
          </w:p>
          <w:p w14:paraId="100C2BD4" w14:textId="77777777" w:rsidR="00E81E4A" w:rsidRPr="00B32F7E" w:rsidRDefault="00E81E4A" w:rsidP="00E81E4A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32F7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Доклади от сертификационни одити;</w:t>
            </w:r>
          </w:p>
          <w:p w14:paraId="3DFA11B9" w14:textId="77777777" w:rsidR="00E81E4A" w:rsidRPr="004E66A6" w:rsidRDefault="00E81E4A" w:rsidP="00E81E4A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32F7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Сертификат за съответствие с БДС ISO/IEC 27001, </w:t>
            </w:r>
            <w:r w:rsidRPr="004E66A6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издаден от акредитиран орган</w:t>
            </w:r>
          </w:p>
          <w:p w14:paraId="3D86B867" w14:textId="47686BFB" w:rsidR="00E81E4A" w:rsidRPr="004E66A6" w:rsidRDefault="00E81E4A" w:rsidP="0048628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E66A6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При въвеждане на стандарти в областта на Индустрия 4.0</w:t>
            </w:r>
            <w:r w:rsidR="004E66A6" w:rsidRPr="004E66A6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(БДС EN 62264/ БДС EN 61512/ БДС EN IEC 62890)</w:t>
            </w:r>
            <w:r w:rsidRPr="004E66A6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: </w:t>
            </w:r>
            <w:r w:rsidR="0048628B" w:rsidRPr="0048628B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наръчници, процедури, спецификации, записи, схеми, диаграми, отчети от системи и други приложими документи, според спецификата на съответния стандарт и особеностите на икономическата дейност на</w:t>
            </w:r>
            <w:r w:rsidR="0048628B" w:rsidRPr="0048628B" w:rsidDel="0048628B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="0048628B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Бенефициента</w:t>
            </w:r>
            <w:r w:rsidRPr="004E66A6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.</w:t>
            </w:r>
          </w:p>
          <w:p w14:paraId="2C7FECBA" w14:textId="77777777" w:rsidR="00EB7104" w:rsidRPr="00B32F7E" w:rsidRDefault="00EB7104" w:rsidP="00EB710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</w:p>
          <w:p w14:paraId="452D469D" w14:textId="7B648CBF" w:rsidR="004E66A6" w:rsidRPr="004E66A6" w:rsidRDefault="00E81E4A" w:rsidP="005A3F7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12"/>
                <w:szCs w:val="12"/>
              </w:rPr>
            </w:pPr>
            <w:r w:rsidRPr="00B32F7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Постигането на индикатора се проследява служебно от УО</w:t>
            </w:r>
            <w:r w:rsidR="00713CF1" w:rsidRPr="00B32F7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въз основа на горепосочените документи</w:t>
            </w:r>
            <w:r w:rsidRPr="00B32F7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.</w:t>
            </w:r>
          </w:p>
        </w:tc>
      </w:tr>
      <w:tr w:rsidR="00BD1A7A" w:rsidRPr="00ED5E2F" w14:paraId="43CECB45" w14:textId="77777777" w:rsidTr="0038450B">
        <w:trPr>
          <w:trHeight w:val="291"/>
        </w:trPr>
        <w:tc>
          <w:tcPr>
            <w:tcW w:w="2714" w:type="dxa"/>
            <w:vAlign w:val="center"/>
          </w:tcPr>
          <w:p w14:paraId="48163B34" w14:textId="77777777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Специфична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637" w:type="dxa"/>
            <w:vAlign w:val="center"/>
          </w:tcPr>
          <w:p w14:paraId="00512395" w14:textId="1C57C23A" w:rsidR="00BD1A7A" w:rsidRPr="00ED5E2F" w:rsidRDefault="00BD1A7A" w:rsidP="0071426D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A1">
              <w:rPr>
                <w:rFonts w:ascii="Times New Roman" w:hAnsi="Times New Roman" w:cs="Times New Roman"/>
                <w:sz w:val="24"/>
                <w:szCs w:val="24"/>
              </w:rPr>
              <w:t>RSO1.2. Усвояване на ползите от цифровизацията за гражданите, дружествата, изследователските организации и публичните органи</w:t>
            </w:r>
            <w:r w:rsidRPr="00ED5E2F">
              <w:rPr>
                <w:rFonts w:ascii="Times New Roman" w:hAnsi="Times New Roman" w:cs="Times New Roman"/>
                <w:sz w:val="24"/>
                <w:szCs w:val="24"/>
              </w:rPr>
              <w:t xml:space="preserve"> (ЕФРР)</w:t>
            </w:r>
          </w:p>
        </w:tc>
      </w:tr>
      <w:tr w:rsidR="00BD1A7A" w:rsidRPr="00ED5E2F" w14:paraId="64C1CF34" w14:textId="77777777" w:rsidTr="0038450B">
        <w:trPr>
          <w:trHeight w:val="853"/>
        </w:trPr>
        <w:tc>
          <w:tcPr>
            <w:tcW w:w="2714" w:type="dxa"/>
            <w:vAlign w:val="center"/>
          </w:tcPr>
          <w:p w14:paraId="3F01997B" w14:textId="234B0C90" w:rsidR="00BD1A7A" w:rsidRPr="00ED5E2F" w:rsidRDefault="00BD1A7A" w:rsidP="00654B71">
            <w:pPr>
              <w:widowControl w:val="0"/>
              <w:autoSpaceDE w:val="0"/>
              <w:autoSpaceDN w:val="0"/>
              <w:spacing w:after="0" w:line="240" w:lineRule="auto"/>
              <w:ind w:left="107" w:right="8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637" w:type="dxa"/>
            <w:vAlign w:val="center"/>
          </w:tcPr>
          <w:p w14:paraId="1BD8BC70" w14:textId="66C7FAC1" w:rsidR="00BD1A7A" w:rsidRPr="00ED5E2F" w:rsidRDefault="007A6366" w:rsidP="00727B55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</w:t>
            </w:r>
            <w:proofErr w:type="spellEnd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включва</w:t>
            </w:r>
            <w:proofErr w:type="spellEnd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всички</w:t>
            </w:r>
            <w:proofErr w:type="spellEnd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които</w:t>
            </w:r>
            <w:proofErr w:type="spellEnd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получават</w:t>
            </w:r>
            <w:proofErr w:type="spellEnd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финансова</w:t>
            </w:r>
            <w:proofErr w:type="spellEnd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подкрепа</w:t>
            </w:r>
            <w:proofErr w:type="spellEnd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резултат</w:t>
            </w:r>
            <w:proofErr w:type="spellEnd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успешно</w:t>
            </w:r>
            <w:proofErr w:type="spellEnd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приключени</w:t>
            </w:r>
            <w:proofErr w:type="spellEnd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проекти</w:t>
            </w:r>
            <w:proofErr w:type="spellEnd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A63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процедурата.</w:t>
            </w:r>
          </w:p>
        </w:tc>
      </w:tr>
    </w:tbl>
    <w:p w14:paraId="1AACED6E" w14:textId="6489CD81" w:rsidR="005A3F74" w:rsidRDefault="005A3F74" w:rsidP="00FB67A6">
      <w:pPr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</w:p>
    <w:p w14:paraId="159DB737" w14:textId="47171148" w:rsidR="005A3F74" w:rsidRDefault="005A3F74" w:rsidP="00FB67A6">
      <w:pPr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</w:p>
    <w:p w14:paraId="5AFEC6F4" w14:textId="77777777" w:rsidR="005A3F74" w:rsidRPr="00ED5E2F" w:rsidRDefault="005A3F74" w:rsidP="00FB67A6">
      <w:pPr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1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6"/>
        <w:gridCol w:w="6675"/>
      </w:tblGrid>
      <w:tr w:rsidR="00BD1A7A" w:rsidRPr="00ED5E2F" w14:paraId="2E2016FC" w14:textId="77777777" w:rsidTr="008E2F40">
        <w:trPr>
          <w:trHeight w:val="340"/>
        </w:trPr>
        <w:tc>
          <w:tcPr>
            <w:tcW w:w="2676" w:type="dxa"/>
            <w:shd w:val="clear" w:color="auto" w:fill="C5D9F0"/>
            <w:vAlign w:val="center"/>
          </w:tcPr>
          <w:p w14:paraId="5AFA678E" w14:textId="77777777" w:rsidR="00BD1A7A" w:rsidRPr="00ED5E2F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675" w:type="dxa"/>
            <w:shd w:val="clear" w:color="auto" w:fill="C5D9F0"/>
            <w:vAlign w:val="center"/>
          </w:tcPr>
          <w:p w14:paraId="5363938B" w14:textId="2D7A7E73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Данни за и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28ADD607" w14:textId="77777777" w:rsidTr="005E2301">
        <w:trPr>
          <w:trHeight w:val="167"/>
        </w:trPr>
        <w:tc>
          <w:tcPr>
            <w:tcW w:w="2676" w:type="dxa"/>
            <w:vAlign w:val="center"/>
          </w:tcPr>
          <w:p w14:paraId="4FFCE4FE" w14:textId="77777777" w:rsidR="00BD1A7A" w:rsidRPr="00ED5E2F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  <w:proofErr w:type="spellEnd"/>
          </w:p>
        </w:tc>
        <w:tc>
          <w:tcPr>
            <w:tcW w:w="6675" w:type="dxa"/>
            <w:vAlign w:val="center"/>
          </w:tcPr>
          <w:p w14:paraId="33E9BABE" w14:textId="2A9760D4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ED5E2F" w14:paraId="6F1A7F36" w14:textId="77777777" w:rsidTr="005E2301">
        <w:trPr>
          <w:trHeight w:val="170"/>
        </w:trPr>
        <w:tc>
          <w:tcPr>
            <w:tcW w:w="2676" w:type="dxa"/>
            <w:vAlign w:val="center"/>
          </w:tcPr>
          <w:p w14:paraId="6FC1810A" w14:textId="01C98DF9" w:rsidR="00BD1A7A" w:rsidRPr="00ED5E2F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6675" w:type="dxa"/>
            <w:vAlign w:val="center"/>
          </w:tcPr>
          <w:p w14:paraId="6D8053C4" w14:textId="77777777" w:rsidR="00BD1A7A" w:rsidRPr="00ED5E2F" w:rsidRDefault="00BD1A7A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RCO02</w:t>
            </w:r>
          </w:p>
        </w:tc>
      </w:tr>
      <w:tr w:rsidR="00BD1A7A" w:rsidRPr="00ED5E2F" w14:paraId="3751D846" w14:textId="77777777" w:rsidTr="005E2301">
        <w:trPr>
          <w:trHeight w:val="167"/>
        </w:trPr>
        <w:tc>
          <w:tcPr>
            <w:tcW w:w="2676" w:type="dxa"/>
            <w:vAlign w:val="center"/>
          </w:tcPr>
          <w:p w14:paraId="1C1606F9" w14:textId="0C6A732B" w:rsidR="00BD1A7A" w:rsidRPr="00727B55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6675" w:type="dxa"/>
            <w:vAlign w:val="center"/>
          </w:tcPr>
          <w:p w14:paraId="141651EE" w14:textId="77777777" w:rsidR="00BD1A7A" w:rsidRPr="00727B55" w:rsidRDefault="00BD1A7A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Подпомагани</w:t>
            </w:r>
            <w:proofErr w:type="spellEnd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предприятия</w:t>
            </w:r>
            <w:proofErr w:type="spellEnd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чрез</w:t>
            </w:r>
            <w:proofErr w:type="spellEnd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безвъзмездни</w:t>
            </w:r>
            <w:proofErr w:type="spellEnd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средства</w:t>
            </w:r>
            <w:proofErr w:type="spellEnd"/>
          </w:p>
        </w:tc>
      </w:tr>
      <w:tr w:rsidR="00BD1A7A" w:rsidRPr="00ED5E2F" w14:paraId="56FF5C1D" w14:textId="77777777" w:rsidTr="005E2301">
        <w:trPr>
          <w:trHeight w:val="238"/>
        </w:trPr>
        <w:tc>
          <w:tcPr>
            <w:tcW w:w="2676" w:type="dxa"/>
            <w:vAlign w:val="center"/>
          </w:tcPr>
          <w:p w14:paraId="275D48F6" w14:textId="77777777" w:rsidR="00BD1A7A" w:rsidRPr="00ED5E2F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</w:p>
        </w:tc>
        <w:tc>
          <w:tcPr>
            <w:tcW w:w="6675" w:type="dxa"/>
            <w:vAlign w:val="center"/>
          </w:tcPr>
          <w:p w14:paraId="40C4BFD0" w14:textId="77777777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</w:p>
        </w:tc>
      </w:tr>
      <w:tr w:rsidR="00BD1A7A" w:rsidRPr="00ED5E2F" w14:paraId="13300347" w14:textId="77777777" w:rsidTr="005E2301">
        <w:trPr>
          <w:trHeight w:val="294"/>
        </w:trPr>
        <w:tc>
          <w:tcPr>
            <w:tcW w:w="2676" w:type="dxa"/>
            <w:vAlign w:val="center"/>
          </w:tcPr>
          <w:p w14:paraId="772EBAAC" w14:textId="77777777" w:rsidR="00BD1A7A" w:rsidRPr="00ED5E2F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6675" w:type="dxa"/>
            <w:vAlign w:val="center"/>
          </w:tcPr>
          <w:p w14:paraId="56BC5C5B" w14:textId="77777777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BD1A7A" w:rsidRPr="00ED5E2F" w14:paraId="4E0E1E5B" w14:textId="77777777" w:rsidTr="005E2301">
        <w:trPr>
          <w:trHeight w:val="223"/>
        </w:trPr>
        <w:tc>
          <w:tcPr>
            <w:tcW w:w="2676" w:type="dxa"/>
            <w:vAlign w:val="center"/>
          </w:tcPr>
          <w:p w14:paraId="27CFD0FA" w14:textId="77777777" w:rsidR="00BD1A7A" w:rsidRPr="00ED5E2F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6675" w:type="dxa"/>
            <w:vAlign w:val="center"/>
          </w:tcPr>
          <w:p w14:paraId="6A90BF77" w14:textId="77777777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BD1A7A" w:rsidRPr="00ED5E2F" w14:paraId="02C1B309" w14:textId="77777777" w:rsidTr="005E2301">
        <w:trPr>
          <w:trHeight w:val="223"/>
        </w:trPr>
        <w:tc>
          <w:tcPr>
            <w:tcW w:w="2676" w:type="dxa"/>
            <w:vAlign w:val="center"/>
          </w:tcPr>
          <w:p w14:paraId="590CF032" w14:textId="32BB27C0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75" w:type="dxa"/>
            <w:vAlign w:val="center"/>
          </w:tcPr>
          <w:p w14:paraId="6067A214" w14:textId="599D37B9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система на УО/Финален отчет</w:t>
            </w:r>
          </w:p>
        </w:tc>
      </w:tr>
      <w:tr w:rsidR="00BD1A7A" w:rsidRPr="00ED5E2F" w14:paraId="4BFAE63D" w14:textId="77777777" w:rsidTr="005E2301">
        <w:trPr>
          <w:trHeight w:val="223"/>
        </w:trPr>
        <w:tc>
          <w:tcPr>
            <w:tcW w:w="2676" w:type="dxa"/>
            <w:vAlign w:val="center"/>
          </w:tcPr>
          <w:p w14:paraId="558FD4F1" w14:textId="7E539FFF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75" w:type="dxa"/>
            <w:vAlign w:val="center"/>
          </w:tcPr>
          <w:p w14:paraId="09E90895" w14:textId="76F6A507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EB7104" w:rsidRPr="00ED5E2F" w14:paraId="6F22D09A" w14:textId="77777777" w:rsidTr="00227B8D">
        <w:trPr>
          <w:trHeight w:val="1124"/>
        </w:trPr>
        <w:tc>
          <w:tcPr>
            <w:tcW w:w="2676" w:type="dxa"/>
            <w:vAlign w:val="center"/>
          </w:tcPr>
          <w:p w14:paraId="0A5E7CD1" w14:textId="5EF7BC95" w:rsidR="00EB7104" w:rsidRPr="00ED5E2F" w:rsidRDefault="00EB7104" w:rsidP="00EB710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6675" w:type="dxa"/>
            <w:vAlign w:val="center"/>
          </w:tcPr>
          <w:p w14:paraId="6484CE1A" w14:textId="3DC49B39" w:rsidR="00104D0B" w:rsidRPr="00B56DBA" w:rsidRDefault="00AD1AB2" w:rsidP="005E230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56D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 по проекта</w:t>
            </w:r>
          </w:p>
          <w:p w14:paraId="1D9F3DD5" w14:textId="4E1DEB6D" w:rsidR="00AD1AB2" w:rsidRPr="00B56DBA" w:rsidRDefault="00104D0B" w:rsidP="005E230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56D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Договор за доставка на ДМА/ДНА, приемо-предавателен протокол </w:t>
            </w:r>
            <w:r w:rsidR="00AD1AB2" w:rsidRPr="00B56D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за доставка на ДМА/ДНА, подписан от бенефициента и изпълнителя;</w:t>
            </w:r>
          </w:p>
          <w:p w14:paraId="355FAF9A" w14:textId="6D05F5AB" w:rsidR="00104D0B" w:rsidRPr="00B56DBA" w:rsidRDefault="00AD1AB2" w:rsidP="005E230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56D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Документация за удостоверяване съответствието на функционалностите на реално доставените активи с допустимите по процедурата и със заложените по проекта: напр. лиценз/ протокол/ ръководство за функциониране и др., издадени от производител /доставчик </w:t>
            </w:r>
            <w:r w:rsidRPr="00B56DBA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(ако е приложимо в зависимост от спецификата на</w:t>
            </w:r>
            <w:r w:rsidRPr="00B56DBA">
              <w:t xml:space="preserve"> </w:t>
            </w:r>
            <w:r w:rsidRPr="00B56DBA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съответната технология/актив</w:t>
            </w:r>
            <w:r w:rsidRPr="00B56DBA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  <w:lang w:val="en-US"/>
              </w:rPr>
              <w:t>)</w:t>
            </w:r>
            <w:r w:rsidRPr="00B56DBA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;</w:t>
            </w:r>
          </w:p>
          <w:p w14:paraId="4DE5AB37" w14:textId="18465CD7" w:rsidR="00AD1AB2" w:rsidRPr="00B56DBA" w:rsidRDefault="00AD1AB2" w:rsidP="005E230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56D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Снимки на екран (</w:t>
            </w:r>
            <w:proofErr w:type="spellStart"/>
            <w:r w:rsidRPr="00B56D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screenshot</w:t>
            </w:r>
            <w:proofErr w:type="spellEnd"/>
            <w:r w:rsidRPr="00B56D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), от които да са видими: производител; наименование, версия, сериен номер на продукта (номер на лиценз); снимка на екрана за вход в системата (login); заглавна страница; основни менюта, функции и възможности на доставен/и активи; записи на въведена/ генерирана информация в системата </w:t>
            </w:r>
            <w:r w:rsidRPr="00B56DBA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(ако е приложимо в зависимост от спецификата на съответната технология</w:t>
            </w:r>
            <w:r w:rsidRPr="00B56DBA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  <w:lang w:val="en-US"/>
              </w:rPr>
              <w:t>/</w:t>
            </w:r>
            <w:r w:rsidRPr="00B56DBA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актив</w:t>
            </w:r>
            <w:r w:rsidRPr="00B56DBA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  <w:lang w:val="en-US"/>
              </w:rPr>
              <w:t>)</w:t>
            </w:r>
            <w:r w:rsidRPr="00B56DBA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;</w:t>
            </w:r>
          </w:p>
          <w:p w14:paraId="564DC7C5" w14:textId="77777777" w:rsidR="009F7BBB" w:rsidRPr="00B56DBA" w:rsidRDefault="009F7BBB" w:rsidP="005E230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56D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При доставка на физически актив – инвентарна книга/амортизационен план, снимки на въведения в експлоатация актив, вкл. на сериен номер, марка и модел;</w:t>
            </w:r>
          </w:p>
          <w:p w14:paraId="447E29B7" w14:textId="0893687B" w:rsidR="00104D0B" w:rsidRPr="00B56DBA" w:rsidRDefault="00104D0B" w:rsidP="005E230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56D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Документи, удостоверяващи изградена и разписана съответна организация в дружеството, във връзка с внедрените нови технологии от Индустрия 4.0, например наръчници, правила, заповеди на ръководителя, справки от ERP системи, оперативни и мениджърски отчети, процесни карти, процедури и инструкции, информация от системите за ISO и други приложими вътрешнофирмени документи.</w:t>
            </w:r>
          </w:p>
          <w:p w14:paraId="123CC07C" w14:textId="77777777" w:rsidR="009F7BBB" w:rsidRPr="00B56DBA" w:rsidRDefault="009F7BBB" w:rsidP="009F7BB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56D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При въвеждане и сертифициране на система за управление на сигурността на информацията съгласно изискванията на международния стандарт БДС ISO/IEC 27001, за отчитането на индикатора се представят и следните документи:</w:t>
            </w:r>
          </w:p>
          <w:p w14:paraId="0CBADA6D" w14:textId="77777777" w:rsidR="009F7BBB" w:rsidRPr="00B56DBA" w:rsidRDefault="009F7BBB" w:rsidP="005E230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56D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Разработени документи към системата за управление на сигурността на информацията (наръчник, процедури, документи, доклади и т. н);</w:t>
            </w:r>
          </w:p>
          <w:p w14:paraId="1577BBE7" w14:textId="77777777" w:rsidR="009F7BBB" w:rsidRPr="00B56DBA" w:rsidRDefault="009F7BBB" w:rsidP="005E230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56D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Доклади от сертификационни одити;</w:t>
            </w:r>
          </w:p>
          <w:p w14:paraId="1A1BE30B" w14:textId="0D597FAC" w:rsidR="009F7BBB" w:rsidRPr="00B56DBA" w:rsidRDefault="009F7BBB" w:rsidP="005E230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56D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Сертификат за съответствие с БДС ISO/IEC 27001, издаден от акредитиран орган</w:t>
            </w:r>
          </w:p>
          <w:p w14:paraId="3D83A4AE" w14:textId="631C1844" w:rsidR="009F7BBB" w:rsidRPr="005E2301" w:rsidRDefault="009F7BBB" w:rsidP="0048628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56D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При въвеждане на стандарти </w:t>
            </w:r>
            <w:r w:rsidR="00830449" w:rsidRPr="00B56D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 областта на Индустрия 4.0</w:t>
            </w:r>
            <w:r w:rsidR="004E66A6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="004E66A6" w:rsidRPr="004E66A6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(БДС EN 62264/ БДС EN 61512/ БДС EN IEC 62890)</w:t>
            </w:r>
            <w:r w:rsidR="00830449" w:rsidRPr="00B56D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:</w:t>
            </w:r>
            <w:r w:rsidR="005A3F74">
              <w:t xml:space="preserve"> </w:t>
            </w:r>
            <w:r w:rsidR="0048628B" w:rsidRPr="0048628B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наръчници, процедури, спецификации, записи, схеми, диаграми, отчети от системи и други приложими документи, според спецификата на съответния стандарт и </w:t>
            </w:r>
            <w:r w:rsidR="0048628B" w:rsidRPr="0048628B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lastRenderedPageBreak/>
              <w:t>особеностите на икономическата дейност на Бенефициента</w:t>
            </w:r>
            <w:r w:rsidR="00830449" w:rsidRPr="004E66A6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.</w:t>
            </w:r>
          </w:p>
          <w:p w14:paraId="1DA3618A" w14:textId="4926FA24" w:rsidR="009F7BBB" w:rsidRPr="005E2301" w:rsidRDefault="009F7BBB" w:rsidP="00917065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</w:p>
          <w:p w14:paraId="65E7227C" w14:textId="577A92E8" w:rsidR="009F7BBB" w:rsidRPr="00917065" w:rsidRDefault="009F7BBB" w:rsidP="00917065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5E230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Постигането на индикатора се п</w:t>
            </w:r>
            <w:r w:rsidR="00EB7104" w:rsidRPr="005E230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роследява служебно от УО</w:t>
            </w:r>
            <w:r w:rsidR="005E230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="005E2301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въз основа на горепосочените документи</w:t>
            </w:r>
            <w:r w:rsidRPr="005E230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.</w:t>
            </w:r>
          </w:p>
        </w:tc>
      </w:tr>
      <w:tr w:rsidR="00BD1A7A" w:rsidRPr="00ED5E2F" w14:paraId="19B5FE46" w14:textId="77777777" w:rsidTr="005E2301">
        <w:trPr>
          <w:trHeight w:val="761"/>
        </w:trPr>
        <w:tc>
          <w:tcPr>
            <w:tcW w:w="2676" w:type="dxa"/>
            <w:vAlign w:val="center"/>
          </w:tcPr>
          <w:p w14:paraId="7CC1DD12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Специфична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675" w:type="dxa"/>
            <w:vAlign w:val="center"/>
          </w:tcPr>
          <w:p w14:paraId="4E868555" w14:textId="3BA42627" w:rsidR="00BD1A7A" w:rsidRPr="003D42A1" w:rsidRDefault="00BD1A7A" w:rsidP="00EF503A">
            <w:pPr>
              <w:widowControl w:val="0"/>
              <w:autoSpaceDE w:val="0"/>
              <w:autoSpaceDN w:val="0"/>
              <w:spacing w:after="0" w:line="225" w:lineRule="exact"/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A1">
              <w:rPr>
                <w:rFonts w:ascii="Times New Roman" w:hAnsi="Times New Roman" w:cs="Times New Roman"/>
                <w:sz w:val="24"/>
                <w:szCs w:val="24"/>
              </w:rPr>
              <w:t>RSO1.2. Усвояване на ползите от цифровизацията за гражданите, дружествата, изследователските организации и публичните органи</w:t>
            </w:r>
            <w:r w:rsidRPr="00ED5E2F">
              <w:rPr>
                <w:rFonts w:ascii="Times New Roman" w:hAnsi="Times New Roman" w:cs="Times New Roman"/>
                <w:sz w:val="24"/>
                <w:szCs w:val="24"/>
              </w:rPr>
              <w:t xml:space="preserve"> (ЕФРР)</w:t>
            </w:r>
          </w:p>
        </w:tc>
      </w:tr>
      <w:tr w:rsidR="00BD1A7A" w:rsidRPr="00ED5E2F" w14:paraId="29BC01E0" w14:textId="77777777" w:rsidTr="005E2301">
        <w:trPr>
          <w:trHeight w:val="696"/>
        </w:trPr>
        <w:tc>
          <w:tcPr>
            <w:tcW w:w="2676" w:type="dxa"/>
            <w:vAlign w:val="center"/>
          </w:tcPr>
          <w:p w14:paraId="74CCD56E" w14:textId="1F53816E" w:rsidR="00BD1A7A" w:rsidRPr="00ED5E2F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675" w:type="dxa"/>
            <w:vAlign w:val="center"/>
          </w:tcPr>
          <w:p w14:paraId="74CAF8E9" w14:textId="2C22558C" w:rsidR="00BD1A7A" w:rsidRPr="00ED5E2F" w:rsidRDefault="00BD1A7A" w:rsidP="00727B55">
            <w:pPr>
              <w:widowControl w:val="0"/>
              <w:autoSpaceDE w:val="0"/>
              <w:autoSpaceDN w:val="0"/>
              <w:spacing w:after="0" w:line="237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получаващи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27B5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подкрепа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формата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възмездни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средства</w:t>
            </w:r>
            <w:proofErr w:type="spellEnd"/>
            <w:r w:rsidR="00727B55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настоящата процедура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1C553DB1" w14:textId="77777777" w:rsidR="0023211E" w:rsidRPr="00ED5E2F" w:rsidRDefault="0023211E" w:rsidP="0023211E">
      <w:pPr>
        <w:tabs>
          <w:tab w:val="left" w:pos="36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-40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8"/>
        <w:gridCol w:w="6673"/>
      </w:tblGrid>
      <w:tr w:rsidR="00BD1A7A" w:rsidRPr="00ED5E2F" w14:paraId="38FB633E" w14:textId="77777777" w:rsidTr="008E2F40">
        <w:trPr>
          <w:trHeight w:val="400"/>
        </w:trPr>
        <w:tc>
          <w:tcPr>
            <w:tcW w:w="2678" w:type="dxa"/>
            <w:shd w:val="clear" w:color="auto" w:fill="C5D9F0"/>
            <w:vAlign w:val="center"/>
          </w:tcPr>
          <w:p w14:paraId="2805A178" w14:textId="71072160" w:rsidR="00BD1A7A" w:rsidRPr="00ED5E2F" w:rsidRDefault="00BD1A7A" w:rsidP="00BD1A7A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673" w:type="dxa"/>
            <w:shd w:val="clear" w:color="auto" w:fill="C5D9F0"/>
            <w:vAlign w:val="center"/>
          </w:tcPr>
          <w:p w14:paraId="7B103CDA" w14:textId="53030C57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12012532" w14:textId="77777777" w:rsidTr="0025584A">
        <w:trPr>
          <w:trHeight w:val="279"/>
        </w:trPr>
        <w:tc>
          <w:tcPr>
            <w:tcW w:w="2678" w:type="dxa"/>
            <w:vAlign w:val="center"/>
          </w:tcPr>
          <w:p w14:paraId="6D8E151C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  <w:proofErr w:type="spellEnd"/>
          </w:p>
        </w:tc>
        <w:tc>
          <w:tcPr>
            <w:tcW w:w="6673" w:type="dxa"/>
            <w:vAlign w:val="center"/>
          </w:tcPr>
          <w:p w14:paraId="7ECCCDD3" w14:textId="09FA1088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ED5E2F" w14:paraId="53D3F560" w14:textId="77777777" w:rsidTr="0025584A">
        <w:trPr>
          <w:trHeight w:val="283"/>
        </w:trPr>
        <w:tc>
          <w:tcPr>
            <w:tcW w:w="2678" w:type="dxa"/>
            <w:vAlign w:val="center"/>
          </w:tcPr>
          <w:p w14:paraId="07AA773C" w14:textId="69EEC342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6673" w:type="dxa"/>
            <w:vAlign w:val="center"/>
          </w:tcPr>
          <w:p w14:paraId="31ACF8DD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RCR02</w:t>
            </w:r>
          </w:p>
        </w:tc>
      </w:tr>
      <w:tr w:rsidR="00BD1A7A" w:rsidRPr="00ED5E2F" w14:paraId="38A60218" w14:textId="77777777" w:rsidTr="0025584A">
        <w:trPr>
          <w:trHeight w:val="410"/>
        </w:trPr>
        <w:tc>
          <w:tcPr>
            <w:tcW w:w="2678" w:type="dxa"/>
            <w:vAlign w:val="center"/>
          </w:tcPr>
          <w:p w14:paraId="16EB2B09" w14:textId="5F4CB898" w:rsidR="00BD1A7A" w:rsidRPr="008873DD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6673" w:type="dxa"/>
            <w:vAlign w:val="center"/>
          </w:tcPr>
          <w:p w14:paraId="56DEB3D6" w14:textId="77777777" w:rsidR="00BD1A7A" w:rsidRPr="008873DD" w:rsidRDefault="00BD1A7A" w:rsidP="00596117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Частни</w:t>
            </w:r>
            <w:proofErr w:type="spellEnd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инвестиции</w:t>
            </w:r>
            <w:proofErr w:type="spellEnd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допълващи</w:t>
            </w:r>
            <w:proofErr w:type="spellEnd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публичното</w:t>
            </w:r>
            <w:proofErr w:type="spellEnd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подпомагане</w:t>
            </w:r>
            <w:proofErr w:type="spellEnd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(в </w:t>
            </w:r>
            <w:proofErr w:type="spellStart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т.ч</w:t>
            </w:r>
            <w:proofErr w:type="spellEnd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безвъзмездни</w:t>
            </w:r>
            <w:proofErr w:type="spellEnd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средства</w:t>
            </w:r>
            <w:proofErr w:type="spellEnd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финансови</w:t>
            </w:r>
            <w:proofErr w:type="spellEnd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инструменти</w:t>
            </w:r>
            <w:proofErr w:type="spellEnd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BD1A7A" w:rsidRPr="00ED5E2F" w14:paraId="2700DC49" w14:textId="77777777" w:rsidTr="0025584A">
        <w:trPr>
          <w:trHeight w:val="283"/>
        </w:trPr>
        <w:tc>
          <w:tcPr>
            <w:tcW w:w="2678" w:type="dxa"/>
            <w:vAlign w:val="center"/>
          </w:tcPr>
          <w:p w14:paraId="525128C5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</w:p>
        </w:tc>
        <w:tc>
          <w:tcPr>
            <w:tcW w:w="6673" w:type="dxa"/>
            <w:vAlign w:val="center"/>
          </w:tcPr>
          <w:p w14:paraId="0E95E1B7" w14:textId="4E3EF23E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Евро</w:t>
            </w:r>
          </w:p>
        </w:tc>
      </w:tr>
      <w:tr w:rsidR="00BD1A7A" w:rsidRPr="00ED5E2F" w14:paraId="2667B366" w14:textId="77777777" w:rsidTr="0025584A">
        <w:trPr>
          <w:trHeight w:val="281"/>
        </w:trPr>
        <w:tc>
          <w:tcPr>
            <w:tcW w:w="2678" w:type="dxa"/>
            <w:vAlign w:val="center"/>
          </w:tcPr>
          <w:p w14:paraId="5BF43138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6673" w:type="dxa"/>
            <w:vAlign w:val="center"/>
          </w:tcPr>
          <w:p w14:paraId="42112290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резултат</w:t>
            </w:r>
          </w:p>
        </w:tc>
      </w:tr>
      <w:tr w:rsidR="00BD1A7A" w:rsidRPr="00ED5E2F" w14:paraId="50ED5E53" w14:textId="77777777" w:rsidTr="0025584A">
        <w:trPr>
          <w:trHeight w:val="279"/>
        </w:trPr>
        <w:tc>
          <w:tcPr>
            <w:tcW w:w="2678" w:type="dxa"/>
            <w:vAlign w:val="center"/>
          </w:tcPr>
          <w:p w14:paraId="61FDEAC8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6673" w:type="dxa"/>
            <w:vAlign w:val="center"/>
          </w:tcPr>
          <w:p w14:paraId="6524D432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BD1A7A" w:rsidRPr="00ED5E2F" w14:paraId="66CEA95A" w14:textId="77777777" w:rsidTr="0025584A">
        <w:trPr>
          <w:trHeight w:val="279"/>
        </w:trPr>
        <w:tc>
          <w:tcPr>
            <w:tcW w:w="2678" w:type="dxa"/>
            <w:vAlign w:val="center"/>
          </w:tcPr>
          <w:p w14:paraId="642122B7" w14:textId="4A401998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73" w:type="dxa"/>
            <w:vAlign w:val="center"/>
          </w:tcPr>
          <w:p w14:paraId="663DAACF" w14:textId="320C31EC" w:rsidR="00BD1A7A" w:rsidRPr="00ED5E2F" w:rsidRDefault="00BD1A7A" w:rsidP="00285C3F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Сключен административен договор</w:t>
            </w:r>
          </w:p>
        </w:tc>
      </w:tr>
      <w:tr w:rsidR="00BD1A7A" w:rsidRPr="00ED5E2F" w14:paraId="5CA386E2" w14:textId="77777777" w:rsidTr="0025584A">
        <w:trPr>
          <w:trHeight w:val="279"/>
        </w:trPr>
        <w:tc>
          <w:tcPr>
            <w:tcW w:w="2678" w:type="dxa"/>
            <w:vAlign w:val="center"/>
          </w:tcPr>
          <w:p w14:paraId="5CB9E3FA" w14:textId="638175CB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73" w:type="dxa"/>
            <w:vAlign w:val="center"/>
          </w:tcPr>
          <w:p w14:paraId="626BCCFA" w14:textId="77448731" w:rsidR="00BD1A7A" w:rsidRPr="00ED5E2F" w:rsidRDefault="00BD1A7A" w:rsidP="00EF503A">
            <w:pPr>
              <w:widowControl w:val="0"/>
              <w:autoSpaceDE w:val="0"/>
              <w:autoSpaceDN w:val="0"/>
              <w:spacing w:after="0" w:line="225" w:lineRule="exact"/>
              <w:ind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 </w:t>
            </w: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сключването на Административния договор</w:t>
            </w:r>
          </w:p>
        </w:tc>
      </w:tr>
      <w:tr w:rsidR="00EB7104" w:rsidRPr="00ED5E2F" w14:paraId="17F28776" w14:textId="77777777" w:rsidTr="0025584A">
        <w:trPr>
          <w:trHeight w:val="641"/>
        </w:trPr>
        <w:tc>
          <w:tcPr>
            <w:tcW w:w="2678" w:type="dxa"/>
            <w:vAlign w:val="center"/>
          </w:tcPr>
          <w:p w14:paraId="6906A69D" w14:textId="6130A499" w:rsidR="00EB7104" w:rsidRPr="00ED5E2F" w:rsidRDefault="00EB7104" w:rsidP="00EB710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6673" w:type="dxa"/>
            <w:vAlign w:val="center"/>
          </w:tcPr>
          <w:p w14:paraId="3F32B911" w14:textId="788154AE" w:rsidR="00EB7104" w:rsidRDefault="00EB7104" w:rsidP="0025584A">
            <w:pPr>
              <w:widowControl w:val="0"/>
              <w:autoSpaceDE w:val="0"/>
              <w:autoSpaceDN w:val="0"/>
              <w:spacing w:after="0" w:line="225" w:lineRule="exact"/>
              <w:ind w:left="108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5584A">
              <w:rPr>
                <w:rFonts w:ascii="Times New Roman" w:hAnsi="Times New Roman" w:cs="Times New Roman"/>
                <w:sz w:val="24"/>
                <w:szCs w:val="24"/>
              </w:rPr>
              <w:t>Бюдже</w:t>
            </w:r>
            <w:r w:rsidR="0025584A" w:rsidRPr="0025584A">
              <w:rPr>
                <w:rFonts w:ascii="Times New Roman" w:hAnsi="Times New Roman" w:cs="Times New Roman"/>
                <w:sz w:val="24"/>
                <w:szCs w:val="24"/>
              </w:rPr>
              <w:t>т към Административния договор.</w:t>
            </w:r>
            <w:r w:rsidRPr="0025584A">
              <w:rPr>
                <w:rFonts w:ascii="Times New Roman" w:hAnsi="Times New Roman" w:cs="Times New Roman"/>
                <w:sz w:val="24"/>
                <w:szCs w:val="24"/>
              </w:rPr>
              <w:t xml:space="preserve"> Проследява се служебно от УО.</w:t>
            </w:r>
          </w:p>
        </w:tc>
      </w:tr>
      <w:tr w:rsidR="00BD1A7A" w:rsidRPr="00ED5E2F" w14:paraId="278B4CDD" w14:textId="77777777" w:rsidTr="005207C8">
        <w:trPr>
          <w:trHeight w:val="845"/>
        </w:trPr>
        <w:tc>
          <w:tcPr>
            <w:tcW w:w="2678" w:type="dxa"/>
            <w:vAlign w:val="center"/>
          </w:tcPr>
          <w:p w14:paraId="21645946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Специфична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673" w:type="dxa"/>
            <w:vAlign w:val="center"/>
          </w:tcPr>
          <w:p w14:paraId="7D32F91A" w14:textId="0A1AD712" w:rsidR="00BD1A7A" w:rsidRPr="00ED5E2F" w:rsidRDefault="00BD1A7A" w:rsidP="00EF503A">
            <w:pPr>
              <w:widowControl w:val="0"/>
              <w:autoSpaceDE w:val="0"/>
              <w:autoSpaceDN w:val="0"/>
              <w:spacing w:after="0" w:line="225" w:lineRule="exact"/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42A1">
              <w:rPr>
                <w:rFonts w:ascii="Times New Roman" w:hAnsi="Times New Roman" w:cs="Times New Roman"/>
                <w:sz w:val="24"/>
                <w:szCs w:val="24"/>
              </w:rPr>
              <w:t>RSO1.2. Усвояване на ползите от цифровизацията за гражданите, дружествата, изследователските организации и публичните органи</w:t>
            </w:r>
            <w:r w:rsidRPr="00ED5E2F">
              <w:rPr>
                <w:rFonts w:ascii="Times New Roman" w:hAnsi="Times New Roman" w:cs="Times New Roman"/>
                <w:sz w:val="24"/>
                <w:szCs w:val="24"/>
              </w:rPr>
              <w:t xml:space="preserve"> (ЕФРР)</w:t>
            </w:r>
          </w:p>
        </w:tc>
      </w:tr>
      <w:tr w:rsidR="00BD1A7A" w:rsidRPr="00ED5E2F" w14:paraId="3571C2FD" w14:textId="77777777" w:rsidTr="0025584A">
        <w:trPr>
          <w:trHeight w:val="1841"/>
        </w:trPr>
        <w:tc>
          <w:tcPr>
            <w:tcW w:w="2678" w:type="dxa"/>
            <w:vAlign w:val="center"/>
          </w:tcPr>
          <w:p w14:paraId="616C0B32" w14:textId="40B0A6D4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673" w:type="dxa"/>
            <w:vAlign w:val="center"/>
          </w:tcPr>
          <w:p w14:paraId="08F6756D" w14:textId="0516F0AB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Общ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ият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частен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/собствен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принос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съфинансиране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страна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подкрепените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обхваща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недопустимата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финаниране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част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разходите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проекта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включително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ДДС (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ако е приложимо)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6920133" w14:textId="77777777" w:rsidR="00BD1A7A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следва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изчислява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въз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основа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частното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/собствено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съфинансиране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предвидено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административните договори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A2B2D33" w14:textId="4B7CDF67" w:rsidR="00390C81" w:rsidRPr="00785B4D" w:rsidRDefault="00390C81" w:rsidP="00785B4D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О</w:t>
            </w:r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бщата</w:t>
            </w:r>
            <w:proofErr w:type="spellEnd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стойност</w:t>
            </w:r>
            <w:proofErr w:type="spellEnd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съфинансирането</w:t>
            </w:r>
            <w:proofErr w:type="spellEnd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собственото</w:t>
            </w:r>
            <w:proofErr w:type="spellEnd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финансиране</w:t>
            </w:r>
            <w:proofErr w:type="spellEnd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), </w:t>
            </w:r>
            <w:proofErr w:type="spellStart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осигурено</w:t>
            </w:r>
            <w:proofErr w:type="spellEnd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от</w:t>
            </w:r>
            <w:proofErr w:type="spellEnd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кандидатите</w:t>
            </w:r>
            <w:proofErr w:type="spellEnd"/>
            <w:r w:rsidR="00785B4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</w:t>
            </w:r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по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проекта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лева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следва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да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се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конвертират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евро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по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курс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1,9558.</w:t>
            </w:r>
          </w:p>
        </w:tc>
      </w:tr>
    </w:tbl>
    <w:p w14:paraId="18F99746" w14:textId="07712F27" w:rsidR="008E2F40" w:rsidRDefault="008E2F40" w:rsidP="00FB67A6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417F2AA9" w14:textId="77777777" w:rsidR="0023211E" w:rsidRPr="00ED5E2F" w:rsidRDefault="0023211E" w:rsidP="002321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-40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7"/>
        <w:gridCol w:w="6684"/>
      </w:tblGrid>
      <w:tr w:rsidR="00BD1A7A" w:rsidRPr="00ED5E2F" w14:paraId="67B1A7DE" w14:textId="77777777" w:rsidTr="008E2F40">
        <w:trPr>
          <w:trHeight w:val="347"/>
        </w:trPr>
        <w:tc>
          <w:tcPr>
            <w:tcW w:w="2667" w:type="dxa"/>
            <w:shd w:val="clear" w:color="auto" w:fill="C5D9F0"/>
            <w:vAlign w:val="center"/>
          </w:tcPr>
          <w:p w14:paraId="77D9F50B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Поле</w:t>
            </w:r>
          </w:p>
        </w:tc>
        <w:tc>
          <w:tcPr>
            <w:tcW w:w="6684" w:type="dxa"/>
            <w:shd w:val="clear" w:color="auto" w:fill="C5D9F0"/>
            <w:vAlign w:val="center"/>
          </w:tcPr>
          <w:p w14:paraId="7F9A90CB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1DD85E79" w14:textId="77777777" w:rsidTr="0025584A">
        <w:trPr>
          <w:trHeight w:val="319"/>
        </w:trPr>
        <w:tc>
          <w:tcPr>
            <w:tcW w:w="2667" w:type="dxa"/>
            <w:vAlign w:val="center"/>
          </w:tcPr>
          <w:p w14:paraId="7FBC8AD6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  <w:proofErr w:type="spellEnd"/>
          </w:p>
        </w:tc>
        <w:tc>
          <w:tcPr>
            <w:tcW w:w="6684" w:type="dxa"/>
            <w:vAlign w:val="center"/>
          </w:tcPr>
          <w:p w14:paraId="7F2732E4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ED5E2F" w14:paraId="339E42ED" w14:textId="77777777" w:rsidTr="0025584A">
        <w:trPr>
          <w:trHeight w:val="322"/>
        </w:trPr>
        <w:tc>
          <w:tcPr>
            <w:tcW w:w="2667" w:type="dxa"/>
            <w:vAlign w:val="center"/>
          </w:tcPr>
          <w:p w14:paraId="5B19363F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6684" w:type="dxa"/>
            <w:vAlign w:val="center"/>
          </w:tcPr>
          <w:p w14:paraId="71430831" w14:textId="796F9CC9" w:rsidR="00BD1A7A" w:rsidRPr="00ED5E2F" w:rsidRDefault="00BD1A7A" w:rsidP="003A153D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RCO</w:t>
            </w:r>
            <w:r w:rsidR="003A1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BD1A7A" w:rsidRPr="00ED5E2F" w14:paraId="12006650" w14:textId="77777777" w:rsidTr="0025584A">
        <w:trPr>
          <w:trHeight w:val="466"/>
        </w:trPr>
        <w:tc>
          <w:tcPr>
            <w:tcW w:w="2667" w:type="dxa"/>
            <w:vAlign w:val="center"/>
          </w:tcPr>
          <w:p w14:paraId="44D46C23" w14:textId="7DB223B5" w:rsidR="00BD1A7A" w:rsidRPr="008873DD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6684" w:type="dxa"/>
            <w:vAlign w:val="center"/>
          </w:tcPr>
          <w:p w14:paraId="24454F50" w14:textId="6045B751" w:rsidR="00BD1A7A" w:rsidRPr="008873DD" w:rsidRDefault="00BD1A7A" w:rsidP="00227CF8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Стойност</w:t>
            </w:r>
            <w:proofErr w:type="spellEnd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цифрови</w:t>
            </w:r>
            <w:proofErr w:type="spellEnd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услуги</w:t>
            </w:r>
            <w:proofErr w:type="spellEnd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продукти</w:t>
            </w:r>
            <w:proofErr w:type="spellEnd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процеси</w:t>
            </w:r>
            <w:proofErr w:type="spellEnd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разработени</w:t>
            </w:r>
            <w:proofErr w:type="spellEnd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предприятия</w:t>
            </w:r>
            <w:proofErr w:type="spellEnd"/>
          </w:p>
        </w:tc>
      </w:tr>
      <w:tr w:rsidR="00BD1A7A" w:rsidRPr="00ED5E2F" w14:paraId="16313905" w14:textId="77777777" w:rsidTr="0025584A">
        <w:trPr>
          <w:trHeight w:val="322"/>
        </w:trPr>
        <w:tc>
          <w:tcPr>
            <w:tcW w:w="2667" w:type="dxa"/>
            <w:vAlign w:val="center"/>
          </w:tcPr>
          <w:p w14:paraId="27C2E42F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</w:p>
        </w:tc>
        <w:tc>
          <w:tcPr>
            <w:tcW w:w="6684" w:type="dxa"/>
            <w:vAlign w:val="center"/>
          </w:tcPr>
          <w:p w14:paraId="7AB894CB" w14:textId="11700911" w:rsidR="00BD1A7A" w:rsidRPr="00FD129D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Евро </w:t>
            </w:r>
          </w:p>
        </w:tc>
      </w:tr>
      <w:tr w:rsidR="00BD1A7A" w:rsidRPr="00ED5E2F" w14:paraId="6AB2C479" w14:textId="77777777" w:rsidTr="0025584A">
        <w:trPr>
          <w:trHeight w:val="320"/>
        </w:trPr>
        <w:tc>
          <w:tcPr>
            <w:tcW w:w="2667" w:type="dxa"/>
            <w:vAlign w:val="center"/>
          </w:tcPr>
          <w:p w14:paraId="376EA670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6684" w:type="dxa"/>
            <w:vAlign w:val="center"/>
          </w:tcPr>
          <w:p w14:paraId="2AF3EC08" w14:textId="2A7DD77D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BD1A7A" w:rsidRPr="00ED5E2F" w14:paraId="109F179A" w14:textId="77777777" w:rsidTr="0025584A">
        <w:trPr>
          <w:trHeight w:val="319"/>
        </w:trPr>
        <w:tc>
          <w:tcPr>
            <w:tcW w:w="2667" w:type="dxa"/>
            <w:vAlign w:val="center"/>
          </w:tcPr>
          <w:p w14:paraId="0E3C9A13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6684" w:type="dxa"/>
            <w:vAlign w:val="center"/>
          </w:tcPr>
          <w:p w14:paraId="45EF83C6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BD1A7A" w:rsidRPr="00ED5E2F" w14:paraId="60940224" w14:textId="77777777" w:rsidTr="0025584A">
        <w:trPr>
          <w:trHeight w:val="319"/>
        </w:trPr>
        <w:tc>
          <w:tcPr>
            <w:tcW w:w="2667" w:type="dxa"/>
            <w:vAlign w:val="center"/>
          </w:tcPr>
          <w:p w14:paraId="72000A17" w14:textId="50F0C412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84" w:type="dxa"/>
            <w:vAlign w:val="center"/>
          </w:tcPr>
          <w:p w14:paraId="06901576" w14:textId="2EC001C5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система на УО/Финален отчет</w:t>
            </w:r>
            <w:r w:rsidR="00227CF8">
              <w:rPr>
                <w:rStyle w:val="FootnoteReference"/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footnoteReference w:id="3"/>
            </w:r>
          </w:p>
        </w:tc>
      </w:tr>
      <w:tr w:rsidR="00BD1A7A" w:rsidRPr="00ED5E2F" w14:paraId="7375FBA3" w14:textId="77777777" w:rsidTr="0025584A">
        <w:trPr>
          <w:trHeight w:val="319"/>
        </w:trPr>
        <w:tc>
          <w:tcPr>
            <w:tcW w:w="2667" w:type="dxa"/>
            <w:vAlign w:val="center"/>
          </w:tcPr>
          <w:p w14:paraId="42C486B8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84" w:type="dxa"/>
            <w:vAlign w:val="center"/>
          </w:tcPr>
          <w:p w14:paraId="08710914" w14:textId="2932101B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C227CB" w:rsidRPr="00ED5E2F" w14:paraId="146F086F" w14:textId="77777777" w:rsidTr="00F0444D">
        <w:trPr>
          <w:trHeight w:val="1030"/>
        </w:trPr>
        <w:tc>
          <w:tcPr>
            <w:tcW w:w="2667" w:type="dxa"/>
            <w:vAlign w:val="center"/>
          </w:tcPr>
          <w:p w14:paraId="14D6F528" w14:textId="386A5735" w:rsidR="00C227CB" w:rsidRPr="00ED5E2F" w:rsidRDefault="00C227CB" w:rsidP="00C227C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6684" w:type="dxa"/>
            <w:vAlign w:val="center"/>
          </w:tcPr>
          <w:p w14:paraId="1587C3CB" w14:textId="0F9C643C" w:rsidR="00917065" w:rsidRPr="00ED5E2F" w:rsidRDefault="00C227CB" w:rsidP="007C6EB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5584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Финансов отчет по проекта. Финансово-счетоводни документи по изпълнението на проекта – фактури, </w:t>
            </w:r>
            <w:r w:rsidR="00057F69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преводни нареждания, </w:t>
            </w:r>
            <w:r w:rsidRPr="0025584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банкови извлечения,</w:t>
            </w:r>
            <w:r w:rsidR="00057F69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извлечения от аналитични счетоводни сметки, открити за проекта</w:t>
            </w:r>
            <w:r w:rsidR="00AB07F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="00AB07FA" w:rsidRPr="0025584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 др.</w:t>
            </w:r>
          </w:p>
        </w:tc>
      </w:tr>
      <w:tr w:rsidR="00BD1A7A" w:rsidRPr="00ED5E2F" w14:paraId="40040F72" w14:textId="77777777" w:rsidTr="0025584A">
        <w:trPr>
          <w:trHeight w:val="739"/>
        </w:trPr>
        <w:tc>
          <w:tcPr>
            <w:tcW w:w="2667" w:type="dxa"/>
            <w:vAlign w:val="center"/>
          </w:tcPr>
          <w:p w14:paraId="086AD986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Специфична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684" w:type="dxa"/>
            <w:vAlign w:val="center"/>
          </w:tcPr>
          <w:p w14:paraId="364995C9" w14:textId="44555EBB" w:rsidR="00BD1A7A" w:rsidRPr="00ED5E2F" w:rsidRDefault="00BD1A7A" w:rsidP="00986DBE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DB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RSO1.2. Усвояване на ползите от цифровизацията за гражданите, дружествата, изследователските организации и публичните органи (ЕФРР)</w:t>
            </w:r>
          </w:p>
        </w:tc>
      </w:tr>
      <w:tr w:rsidR="00BD1A7A" w:rsidRPr="00ED5E2F" w14:paraId="32DC99AB" w14:textId="77777777" w:rsidTr="0025584A">
        <w:trPr>
          <w:trHeight w:val="2919"/>
        </w:trPr>
        <w:tc>
          <w:tcPr>
            <w:tcW w:w="2667" w:type="dxa"/>
            <w:vAlign w:val="center"/>
          </w:tcPr>
          <w:p w14:paraId="570CC7CE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684" w:type="dxa"/>
            <w:vAlign w:val="center"/>
          </w:tcPr>
          <w:p w14:paraId="3EF287AD" w14:textId="69F0A2FC" w:rsidR="00BD1A7A" w:rsidRDefault="00BD1A7A" w:rsidP="00697BC0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Обща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цифровите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услуги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продукти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процеси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новоразработени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значително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подобрени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предприятията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чрез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подкрепени</w:t>
            </w:r>
            <w:proofErr w:type="spellEnd"/>
            <w:r w:rsidR="003A153D"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проекти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Общата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може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бъде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измерена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гледна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точка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пазарна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гледна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точка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общите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инвестиции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необходими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разработване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значително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надграждане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съответната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цифрова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услуга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продукт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1E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услуга</w:t>
            </w:r>
            <w:proofErr w:type="spellEnd"/>
            <w:r w:rsidRPr="00331E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Значителни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надстройки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обхващат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само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нови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функционалности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Цифровата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услуга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r w:rsidR="00034F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продукт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r w:rsidR="00034F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процес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може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бъде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разработен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одкрепеното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предприятие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трета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страна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която то 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сключило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договор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338462A" w14:textId="77777777" w:rsidR="00B56DBA" w:rsidRDefault="00B56DBA" w:rsidP="00697BC0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A980D4" w14:textId="7C5E2405" w:rsidR="00B56DBA" w:rsidRDefault="00B56DBA" w:rsidP="00697BC0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546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целите на настоящата процедура, индикаторът включва общите допустими разходи по </w:t>
            </w:r>
            <w:r w:rsidR="003C4D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 на</w:t>
            </w:r>
            <w:r w:rsidRPr="006546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съответното предприятие.</w:t>
            </w:r>
          </w:p>
          <w:p w14:paraId="5F2D1802" w14:textId="77777777" w:rsidR="00B56DBA" w:rsidRDefault="00B56DBA" w:rsidP="002C33F8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14:paraId="20B3F577" w14:textId="7C979B48" w:rsidR="002C33F8" w:rsidRPr="00ED5E2F" w:rsidRDefault="002C33F8" w:rsidP="002C33F8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О</w:t>
            </w:r>
            <w:r w:rsidRPr="002C33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бщите</w:t>
            </w:r>
            <w:proofErr w:type="spellEnd"/>
            <w:r w:rsidRPr="002C33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33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допустими</w:t>
            </w:r>
            <w:proofErr w:type="spellEnd"/>
            <w:r w:rsidRPr="002C33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33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разходи</w:t>
            </w:r>
            <w:proofErr w:type="spellEnd"/>
            <w:r w:rsidRPr="002C33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33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по</w:t>
            </w:r>
            <w:proofErr w:type="spellEnd"/>
            <w:r w:rsidRPr="002C33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33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проекта</w:t>
            </w:r>
            <w:proofErr w:type="spellEnd"/>
            <w:r w:rsidRPr="002C33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лева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следва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да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се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конвертират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евро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по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курс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1,9558.</w:t>
            </w:r>
          </w:p>
        </w:tc>
      </w:tr>
    </w:tbl>
    <w:p w14:paraId="02136892" w14:textId="77777777" w:rsidR="0023211E" w:rsidRPr="00BD1A7A" w:rsidRDefault="0023211E" w:rsidP="002321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-40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662"/>
      </w:tblGrid>
      <w:tr w:rsidR="00BD1A7A" w:rsidRPr="00ED5E2F" w14:paraId="09F5ED18" w14:textId="77777777" w:rsidTr="008E2F40">
        <w:trPr>
          <w:trHeight w:val="322"/>
        </w:trPr>
        <w:tc>
          <w:tcPr>
            <w:tcW w:w="2689" w:type="dxa"/>
            <w:shd w:val="clear" w:color="auto" w:fill="C5D9F0"/>
            <w:vAlign w:val="center"/>
          </w:tcPr>
          <w:p w14:paraId="00BA13F9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Поле</w:t>
            </w:r>
          </w:p>
        </w:tc>
        <w:tc>
          <w:tcPr>
            <w:tcW w:w="6662" w:type="dxa"/>
            <w:shd w:val="clear" w:color="auto" w:fill="C5D9F0"/>
            <w:vAlign w:val="center"/>
          </w:tcPr>
          <w:p w14:paraId="7D9CF87E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711CD5C2" w14:textId="77777777" w:rsidTr="00C227CB">
        <w:trPr>
          <w:trHeight w:val="219"/>
        </w:trPr>
        <w:tc>
          <w:tcPr>
            <w:tcW w:w="2689" w:type="dxa"/>
            <w:vAlign w:val="center"/>
          </w:tcPr>
          <w:p w14:paraId="0F77CAED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  <w:proofErr w:type="spellEnd"/>
          </w:p>
        </w:tc>
        <w:tc>
          <w:tcPr>
            <w:tcW w:w="6662" w:type="dxa"/>
            <w:vAlign w:val="center"/>
          </w:tcPr>
          <w:p w14:paraId="01B0A7AA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ED5E2F" w14:paraId="3D1914CF" w14:textId="77777777" w:rsidTr="00C227CB">
        <w:trPr>
          <w:trHeight w:val="221"/>
        </w:trPr>
        <w:tc>
          <w:tcPr>
            <w:tcW w:w="2689" w:type="dxa"/>
            <w:vAlign w:val="center"/>
          </w:tcPr>
          <w:p w14:paraId="3ACF1098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6662" w:type="dxa"/>
            <w:vAlign w:val="center"/>
          </w:tcPr>
          <w:p w14:paraId="34BC7674" w14:textId="2353E18A" w:rsidR="00BD1A7A" w:rsidRPr="0012471B" w:rsidRDefault="0012471B" w:rsidP="0041121F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7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SR02</w:t>
            </w:r>
          </w:p>
        </w:tc>
      </w:tr>
      <w:tr w:rsidR="00BD1A7A" w:rsidRPr="00ED5E2F" w14:paraId="16CC7528" w14:textId="77777777" w:rsidTr="00C227CB">
        <w:trPr>
          <w:trHeight w:val="320"/>
        </w:trPr>
        <w:tc>
          <w:tcPr>
            <w:tcW w:w="2689" w:type="dxa"/>
            <w:vAlign w:val="center"/>
          </w:tcPr>
          <w:p w14:paraId="6702B77D" w14:textId="77777777" w:rsidR="00BD1A7A" w:rsidRPr="002C33F8" w:rsidRDefault="00BD1A7A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6662" w:type="dxa"/>
            <w:vAlign w:val="center"/>
          </w:tcPr>
          <w:p w14:paraId="6E463782" w14:textId="054EE758" w:rsidR="00BD1A7A" w:rsidRPr="002C33F8" w:rsidRDefault="00EF3405" w:rsidP="0041121F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МСП, </w:t>
            </w:r>
            <w:proofErr w:type="spellStart"/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постигнали</w:t>
            </w:r>
            <w:proofErr w:type="spellEnd"/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или</w:t>
            </w:r>
            <w:proofErr w:type="spellEnd"/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4 </w:t>
            </w:r>
            <w:proofErr w:type="spellStart"/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ниво</w:t>
            </w:r>
            <w:proofErr w:type="spellEnd"/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дигитализация</w:t>
            </w:r>
            <w:proofErr w:type="spellEnd"/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съгласно</w:t>
            </w:r>
            <w:proofErr w:type="spellEnd"/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индекса</w:t>
            </w:r>
            <w:proofErr w:type="spellEnd"/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зрялост</w:t>
            </w:r>
            <w:proofErr w:type="spellEnd"/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за Индустрия 4.0</w:t>
            </w:r>
            <w:r w:rsidR="00565E4D" w:rsidRPr="002C33F8">
              <w:rPr>
                <w:rStyle w:val="FootnoteReference"/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footnoteReference w:id="4"/>
            </w:r>
          </w:p>
        </w:tc>
      </w:tr>
      <w:tr w:rsidR="00BD1A7A" w:rsidRPr="00ED5E2F" w14:paraId="6B9193A2" w14:textId="77777777" w:rsidTr="00C227CB">
        <w:trPr>
          <w:trHeight w:val="221"/>
        </w:trPr>
        <w:tc>
          <w:tcPr>
            <w:tcW w:w="2689" w:type="dxa"/>
            <w:vAlign w:val="center"/>
          </w:tcPr>
          <w:p w14:paraId="5F3776D7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</w:p>
        </w:tc>
        <w:tc>
          <w:tcPr>
            <w:tcW w:w="6662" w:type="dxa"/>
            <w:vAlign w:val="center"/>
          </w:tcPr>
          <w:p w14:paraId="6DD6FC15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</w:p>
        </w:tc>
      </w:tr>
      <w:tr w:rsidR="00BD1A7A" w:rsidRPr="00ED5E2F" w14:paraId="2D0690C7" w14:textId="77777777" w:rsidTr="00C227CB">
        <w:trPr>
          <w:trHeight w:val="220"/>
        </w:trPr>
        <w:tc>
          <w:tcPr>
            <w:tcW w:w="2689" w:type="dxa"/>
            <w:vAlign w:val="center"/>
          </w:tcPr>
          <w:p w14:paraId="1995BC41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6662" w:type="dxa"/>
            <w:vAlign w:val="center"/>
          </w:tcPr>
          <w:p w14:paraId="2063BAEB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резултат</w:t>
            </w:r>
          </w:p>
        </w:tc>
      </w:tr>
      <w:tr w:rsidR="00BD1A7A" w:rsidRPr="00ED5E2F" w14:paraId="419E32F5" w14:textId="77777777" w:rsidTr="00C227CB">
        <w:trPr>
          <w:trHeight w:val="219"/>
        </w:trPr>
        <w:tc>
          <w:tcPr>
            <w:tcW w:w="2689" w:type="dxa"/>
            <w:vAlign w:val="center"/>
          </w:tcPr>
          <w:p w14:paraId="7229CF2B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6662" w:type="dxa"/>
            <w:vAlign w:val="center"/>
          </w:tcPr>
          <w:p w14:paraId="48FD89D9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BD1A7A" w:rsidRPr="00ED5E2F" w14:paraId="06782158" w14:textId="77777777" w:rsidTr="00C227CB">
        <w:trPr>
          <w:trHeight w:val="285"/>
        </w:trPr>
        <w:tc>
          <w:tcPr>
            <w:tcW w:w="2689" w:type="dxa"/>
            <w:vAlign w:val="center"/>
          </w:tcPr>
          <w:p w14:paraId="74C4EC9D" w14:textId="3F9EBFC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62" w:type="dxa"/>
            <w:vAlign w:val="center"/>
          </w:tcPr>
          <w:p w14:paraId="41B63766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система на УО/Финален отчет</w:t>
            </w:r>
          </w:p>
        </w:tc>
      </w:tr>
      <w:tr w:rsidR="00BD1A7A" w:rsidRPr="00ED5E2F" w14:paraId="14728CA2" w14:textId="77777777" w:rsidTr="00C227CB">
        <w:trPr>
          <w:trHeight w:val="219"/>
        </w:trPr>
        <w:tc>
          <w:tcPr>
            <w:tcW w:w="2689" w:type="dxa"/>
            <w:vAlign w:val="center"/>
          </w:tcPr>
          <w:p w14:paraId="2FB81DA5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62" w:type="dxa"/>
            <w:vAlign w:val="center"/>
          </w:tcPr>
          <w:p w14:paraId="45562266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C227CB" w:rsidRPr="00ED5E2F" w14:paraId="2838E138" w14:textId="77777777" w:rsidTr="00C227CB">
        <w:trPr>
          <w:trHeight w:val="2421"/>
        </w:trPr>
        <w:tc>
          <w:tcPr>
            <w:tcW w:w="2689" w:type="dxa"/>
            <w:vAlign w:val="center"/>
          </w:tcPr>
          <w:p w14:paraId="539DD1BC" w14:textId="45C97073" w:rsidR="00C227CB" w:rsidRPr="00ED5E2F" w:rsidRDefault="00C227CB" w:rsidP="00C227C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6662" w:type="dxa"/>
            <w:vAlign w:val="center"/>
          </w:tcPr>
          <w:p w14:paraId="10BF7949" w14:textId="51A23695" w:rsidR="00917065" w:rsidRPr="005F0220" w:rsidRDefault="00917065" w:rsidP="0091706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5F022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 по проекта</w:t>
            </w:r>
            <w:r w:rsidR="002E36ED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;</w:t>
            </w:r>
          </w:p>
          <w:p w14:paraId="1C9CAEE0" w14:textId="77777777" w:rsidR="00917065" w:rsidRPr="005F0220" w:rsidRDefault="00917065" w:rsidP="0091706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5F022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Договор за доставка на ДМА/ДНА, приемо-предавателен протокол за доставка на ДМА/ДНА, подписан от бенефициента и изпълнителя;</w:t>
            </w:r>
          </w:p>
          <w:p w14:paraId="41ED9A8C" w14:textId="77777777" w:rsidR="00917065" w:rsidRPr="005F0220" w:rsidRDefault="00917065" w:rsidP="0091706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5F022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Документация за удостоверяване съответствието на функционалностите на реално доставените активи с допустимите по процедурата и със заложените по проекта: напр. лиценз/ протокол/ ръководство за функциониране и др., издадени от производител /доставчик </w:t>
            </w:r>
            <w:r w:rsidRPr="005F0220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(ако е приложимо в зависимост от спецификата на</w:t>
            </w:r>
            <w:r w:rsidRPr="005F0220">
              <w:t xml:space="preserve"> </w:t>
            </w:r>
            <w:r w:rsidRPr="005F0220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съответната технология/актив</w:t>
            </w:r>
            <w:r w:rsidRPr="005F0220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  <w:lang w:val="en-US"/>
              </w:rPr>
              <w:t>)</w:t>
            </w:r>
            <w:r w:rsidRPr="005F022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;</w:t>
            </w:r>
          </w:p>
          <w:p w14:paraId="534EB829" w14:textId="77777777" w:rsidR="00917065" w:rsidRPr="005F0220" w:rsidRDefault="00917065" w:rsidP="0091706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5F022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Снимки на екран (</w:t>
            </w:r>
            <w:proofErr w:type="spellStart"/>
            <w:r w:rsidRPr="005F022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screenshot</w:t>
            </w:r>
            <w:proofErr w:type="spellEnd"/>
            <w:r w:rsidRPr="005F022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), от които да са видими: производител; наименование, версия, сериен номер на продукта (номер на лиценз); снимка на екрана за вход в системата (login); заглавна страница; основни менюта, функции и възможности на доставен/и активи; записи на въведена/ генерирана информация в системата </w:t>
            </w:r>
            <w:r w:rsidRPr="005F0220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(ако е приложимо в зависимост от спецификата на съответната технология</w:t>
            </w:r>
            <w:r w:rsidRPr="005F0220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  <w:lang w:val="en-US"/>
              </w:rPr>
              <w:t>/</w:t>
            </w:r>
            <w:r w:rsidRPr="005F0220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актив</w:t>
            </w:r>
            <w:r w:rsidRPr="005F0220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  <w:lang w:val="en-US"/>
              </w:rPr>
              <w:t>)</w:t>
            </w:r>
            <w:r w:rsidRPr="005F022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;</w:t>
            </w:r>
          </w:p>
          <w:p w14:paraId="0DFBEBCB" w14:textId="77777777" w:rsidR="00917065" w:rsidRPr="005F0220" w:rsidRDefault="00917065" w:rsidP="0091706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5F022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При доставка на физически актив – инвентарна книга/амортизационен план, снимки на въведения в експлоатация актив, вкл. на сериен номер, марка и модел;</w:t>
            </w:r>
          </w:p>
          <w:p w14:paraId="693B41C2" w14:textId="4A054BE8" w:rsidR="00917065" w:rsidRPr="00D5366B" w:rsidRDefault="00917065" w:rsidP="00D5366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D5366B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Документи, удостоверяващи изградена и разписана съответна организация в дружеството, във връзка с внедрените нови технологии от Индустрия 4.0, например наръчници, правила, заповеди на ръководителя, справки от ERP системи, оперативни и мениджърски отчети, процесни карти, процедури и инструкции, информация от системите за ISO и други приложими вътрешнофирмени документи.</w:t>
            </w:r>
          </w:p>
          <w:p w14:paraId="6883ED70" w14:textId="4D8837D0" w:rsidR="00C227CB" w:rsidRPr="005F0220" w:rsidRDefault="00C227CB" w:rsidP="007C6EB7">
            <w:pPr>
              <w:pStyle w:val="ListParagraph"/>
              <w:widowControl w:val="0"/>
              <w:autoSpaceDE w:val="0"/>
              <w:autoSpaceDN w:val="0"/>
              <w:spacing w:after="0" w:line="225" w:lineRule="exact"/>
              <w:ind w:left="46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</w:p>
        </w:tc>
      </w:tr>
      <w:tr w:rsidR="00BD1A7A" w:rsidRPr="00ED5E2F" w14:paraId="591D1425" w14:textId="77777777" w:rsidTr="00331EA4">
        <w:trPr>
          <w:trHeight w:val="770"/>
        </w:trPr>
        <w:tc>
          <w:tcPr>
            <w:tcW w:w="2689" w:type="dxa"/>
            <w:vAlign w:val="center"/>
          </w:tcPr>
          <w:p w14:paraId="078B8AB8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Специфична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662" w:type="dxa"/>
            <w:vAlign w:val="center"/>
          </w:tcPr>
          <w:p w14:paraId="0F555EA8" w14:textId="5662E5DD" w:rsidR="00BD1A7A" w:rsidRPr="00ED5E2F" w:rsidRDefault="00EF3405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A1">
              <w:rPr>
                <w:rFonts w:ascii="Times New Roman" w:hAnsi="Times New Roman" w:cs="Times New Roman"/>
                <w:sz w:val="24"/>
                <w:szCs w:val="24"/>
              </w:rPr>
              <w:t>RSO1.2. Усвояване на ползите от цифровизацията за гражданите, дружествата, изследователските организации и публичните органи</w:t>
            </w:r>
            <w:r w:rsidRPr="00ED5E2F">
              <w:rPr>
                <w:rFonts w:ascii="Times New Roman" w:hAnsi="Times New Roman" w:cs="Times New Roman"/>
                <w:sz w:val="24"/>
                <w:szCs w:val="24"/>
              </w:rPr>
              <w:t xml:space="preserve"> (ЕФРР)</w:t>
            </w:r>
          </w:p>
        </w:tc>
      </w:tr>
      <w:tr w:rsidR="00BD1A7A" w:rsidRPr="00ED5E2F" w14:paraId="0E78C414" w14:textId="77777777" w:rsidTr="00331EA4">
        <w:trPr>
          <w:trHeight w:val="1050"/>
        </w:trPr>
        <w:tc>
          <w:tcPr>
            <w:tcW w:w="2689" w:type="dxa"/>
            <w:vAlign w:val="center"/>
          </w:tcPr>
          <w:p w14:paraId="0679EB0C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14:paraId="6F3CE70D" w14:textId="2648B953" w:rsidR="00BD1A7A" w:rsidRPr="007379C9" w:rsidRDefault="0012471B" w:rsidP="00FF4A8A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71B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Индикаторът включва предприятията, които </w:t>
            </w:r>
            <w:r w:rsidR="00FF4A8A">
              <w:rPr>
                <w:rFonts w:ascii="Times New Roman" w:hAnsi="Times New Roman" w:cs="Times New Roman"/>
                <w:sz w:val="24"/>
                <w:szCs w:val="24"/>
              </w:rPr>
              <w:t xml:space="preserve">са въвели </w:t>
            </w:r>
            <w:r w:rsidR="0023211E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 w:rsidRPr="0012471B">
              <w:rPr>
                <w:rFonts w:ascii="Times New Roman" w:hAnsi="Times New Roman" w:cs="Times New Roman"/>
                <w:sz w:val="24"/>
                <w:szCs w:val="24"/>
              </w:rPr>
              <w:t xml:space="preserve"> от Индустрия 4.0</w:t>
            </w:r>
            <w:r w:rsidR="007379C9" w:rsidRPr="007379C9">
              <w:rPr>
                <w:rFonts w:ascii="Times New Roman" w:hAnsi="Times New Roman" w:cs="Times New Roman"/>
                <w:sz w:val="24"/>
                <w:szCs w:val="24"/>
              </w:rPr>
              <w:t>, разпределени</w:t>
            </w:r>
            <w:r w:rsidR="003A153D">
              <w:rPr>
                <w:rFonts w:ascii="Times New Roman" w:hAnsi="Times New Roman" w:cs="Times New Roman"/>
                <w:sz w:val="24"/>
                <w:szCs w:val="24"/>
              </w:rPr>
              <w:t xml:space="preserve"> за целите на процедурата</w:t>
            </w:r>
            <w:r w:rsidR="007379C9" w:rsidRPr="007379C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737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9C9">
              <w:rPr>
                <w:rFonts w:ascii="Times New Roman" w:eastAsia="Times New Roman" w:hAnsi="Times New Roman" w:cs="Times New Roman"/>
                <w:sz w:val="24"/>
                <w:szCs w:val="24"/>
              </w:rPr>
              <w:t>ниво 3 „В</w:t>
            </w:r>
            <w:r w:rsidR="004C45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идимост“ и ниво 4 „Прозрачност“ </w:t>
            </w:r>
            <w:r w:rsidR="004C4530" w:rsidRPr="001078CF">
              <w:rPr>
                <w:rFonts w:ascii="Times New Roman" w:eastAsia="Times New Roman" w:hAnsi="Times New Roman" w:cs="Times New Roman"/>
                <w:sz w:val="24"/>
                <w:szCs w:val="24"/>
              </w:rPr>
              <w:t>съгласно</w:t>
            </w:r>
            <w:r w:rsidR="007379C9" w:rsidRPr="00107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Приложение № </w:t>
            </w:r>
            <w:r w:rsidR="002D591A" w:rsidRPr="001078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C04668" w:rsidRPr="001078C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379C9" w:rsidRPr="00107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към</w:t>
            </w:r>
            <w:r w:rsidR="007379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Условията за кандидатстване.</w:t>
            </w:r>
          </w:p>
        </w:tc>
      </w:tr>
    </w:tbl>
    <w:p w14:paraId="29E61B51" w14:textId="6A6BD972" w:rsidR="00BD1A7A" w:rsidRPr="00DD0952" w:rsidRDefault="00BD1A7A" w:rsidP="00393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6662"/>
      </w:tblGrid>
      <w:tr w:rsidR="00BD1A7A" w:rsidRPr="00ED5E2F" w14:paraId="710705F6" w14:textId="77777777" w:rsidTr="008E2F40">
        <w:trPr>
          <w:trHeight w:val="340"/>
        </w:trPr>
        <w:tc>
          <w:tcPr>
            <w:tcW w:w="2694" w:type="dxa"/>
            <w:shd w:val="clear" w:color="auto" w:fill="C5D9F0"/>
            <w:vAlign w:val="center"/>
          </w:tcPr>
          <w:p w14:paraId="2F6E74EB" w14:textId="77777777" w:rsidR="00BD1A7A" w:rsidRPr="00ED5E2F" w:rsidRDefault="00BD1A7A" w:rsidP="00895365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662" w:type="dxa"/>
            <w:shd w:val="clear" w:color="auto" w:fill="C5D9F0"/>
            <w:vAlign w:val="center"/>
          </w:tcPr>
          <w:p w14:paraId="3B88252D" w14:textId="460686B3" w:rsidR="00BD1A7A" w:rsidRPr="00ED5E2F" w:rsidRDefault="00BD1A7A" w:rsidP="00895365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4B075BE9" w14:textId="77777777" w:rsidTr="00C227CB">
        <w:trPr>
          <w:trHeight w:val="316"/>
        </w:trPr>
        <w:tc>
          <w:tcPr>
            <w:tcW w:w="2694" w:type="dxa"/>
            <w:vAlign w:val="center"/>
          </w:tcPr>
          <w:p w14:paraId="0B1F6A57" w14:textId="77777777" w:rsidR="00BD1A7A" w:rsidRPr="00ED5E2F" w:rsidRDefault="00BD1A7A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662" w:type="dxa"/>
            <w:vAlign w:val="center"/>
          </w:tcPr>
          <w:p w14:paraId="4F3F50B0" w14:textId="496EB5C5" w:rsidR="00BD1A7A" w:rsidRPr="00ED5E2F" w:rsidRDefault="00BD1A7A" w:rsidP="00C227C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ED5E2F" w14:paraId="58651254" w14:textId="77777777" w:rsidTr="00C227CB">
        <w:trPr>
          <w:trHeight w:val="314"/>
        </w:trPr>
        <w:tc>
          <w:tcPr>
            <w:tcW w:w="2694" w:type="dxa"/>
            <w:vAlign w:val="center"/>
          </w:tcPr>
          <w:p w14:paraId="4D0E7EA9" w14:textId="096265EC" w:rsidR="00BD1A7A" w:rsidRPr="00ED5E2F" w:rsidRDefault="00BD1A7A" w:rsidP="00895365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662" w:type="dxa"/>
            <w:vAlign w:val="center"/>
          </w:tcPr>
          <w:p w14:paraId="401DF5A2" w14:textId="35DFAFC4" w:rsidR="00BD1A7A" w:rsidRPr="0098077C" w:rsidRDefault="0012471B" w:rsidP="00C227CB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SR03</w:t>
            </w:r>
          </w:p>
        </w:tc>
      </w:tr>
      <w:tr w:rsidR="00BD1A7A" w:rsidRPr="00ED5E2F" w14:paraId="5346908F" w14:textId="77777777" w:rsidTr="00C227CB">
        <w:trPr>
          <w:trHeight w:val="316"/>
        </w:trPr>
        <w:tc>
          <w:tcPr>
            <w:tcW w:w="2694" w:type="dxa"/>
            <w:vAlign w:val="center"/>
          </w:tcPr>
          <w:p w14:paraId="30C7E243" w14:textId="77777777" w:rsidR="00BD1A7A" w:rsidRPr="004C4530" w:rsidRDefault="00BD1A7A" w:rsidP="00895365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5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662" w:type="dxa"/>
            <w:vAlign w:val="center"/>
          </w:tcPr>
          <w:p w14:paraId="7F3FF27D" w14:textId="3EAB5B73" w:rsidR="00BD1A7A" w:rsidRPr="004C4530" w:rsidRDefault="00EF3405" w:rsidP="00C227CB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C4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МСП, </w:t>
            </w:r>
            <w:proofErr w:type="spellStart"/>
            <w:r w:rsidRPr="004C4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постигнали</w:t>
            </w:r>
            <w:proofErr w:type="spellEnd"/>
            <w:r w:rsidRPr="004C4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5 </w:t>
            </w:r>
            <w:proofErr w:type="spellStart"/>
            <w:r w:rsidRPr="004C4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или</w:t>
            </w:r>
            <w:proofErr w:type="spellEnd"/>
            <w:r w:rsidRPr="004C4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6 </w:t>
            </w:r>
            <w:proofErr w:type="spellStart"/>
            <w:r w:rsidRPr="004C4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ниво</w:t>
            </w:r>
            <w:proofErr w:type="spellEnd"/>
            <w:r w:rsidRPr="004C4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4C4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дигитализация</w:t>
            </w:r>
            <w:proofErr w:type="spellEnd"/>
            <w:r w:rsidRPr="004C4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4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съгласно</w:t>
            </w:r>
            <w:proofErr w:type="spellEnd"/>
            <w:r w:rsidRPr="004C4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4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индекса</w:t>
            </w:r>
            <w:proofErr w:type="spellEnd"/>
            <w:r w:rsidRPr="004C4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4C4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зрялост</w:t>
            </w:r>
            <w:proofErr w:type="spellEnd"/>
            <w:r w:rsidRPr="004C4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за Индустрия 4.0</w:t>
            </w:r>
          </w:p>
        </w:tc>
      </w:tr>
      <w:tr w:rsidR="00BD1A7A" w:rsidRPr="00ED5E2F" w14:paraId="5E925830" w14:textId="77777777" w:rsidTr="00C227CB">
        <w:trPr>
          <w:trHeight w:val="313"/>
        </w:trPr>
        <w:tc>
          <w:tcPr>
            <w:tcW w:w="2694" w:type="dxa"/>
            <w:vAlign w:val="center"/>
          </w:tcPr>
          <w:p w14:paraId="4025C8E1" w14:textId="77777777" w:rsidR="00BD1A7A" w:rsidRPr="00ED5E2F" w:rsidRDefault="00BD1A7A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14:paraId="04983769" w14:textId="219BFD7B" w:rsidR="00BD1A7A" w:rsidRPr="00ED5E2F" w:rsidRDefault="00BD1A7A" w:rsidP="00C227C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</w:p>
        </w:tc>
      </w:tr>
      <w:tr w:rsidR="00BD1A7A" w:rsidRPr="00ED5E2F" w14:paraId="6B945EBB" w14:textId="77777777" w:rsidTr="00C227CB">
        <w:trPr>
          <w:trHeight w:val="314"/>
        </w:trPr>
        <w:tc>
          <w:tcPr>
            <w:tcW w:w="2694" w:type="dxa"/>
            <w:vAlign w:val="center"/>
          </w:tcPr>
          <w:p w14:paraId="5F78E59C" w14:textId="77777777" w:rsidR="00BD1A7A" w:rsidRPr="00ED5E2F" w:rsidRDefault="00BD1A7A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662" w:type="dxa"/>
            <w:vAlign w:val="center"/>
          </w:tcPr>
          <w:p w14:paraId="3C0D76D3" w14:textId="6463590E" w:rsidR="00BD1A7A" w:rsidRPr="00C227CB" w:rsidRDefault="00BD1A7A" w:rsidP="00C227C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резултат</w:t>
            </w:r>
            <w:proofErr w:type="spellEnd"/>
          </w:p>
        </w:tc>
      </w:tr>
      <w:tr w:rsidR="00BD1A7A" w:rsidRPr="00ED5E2F" w14:paraId="5B182827" w14:textId="77777777" w:rsidTr="00C227CB">
        <w:trPr>
          <w:trHeight w:val="314"/>
        </w:trPr>
        <w:tc>
          <w:tcPr>
            <w:tcW w:w="2694" w:type="dxa"/>
            <w:vAlign w:val="center"/>
          </w:tcPr>
          <w:p w14:paraId="316AFBC7" w14:textId="77777777" w:rsidR="00BD1A7A" w:rsidRPr="00ED5E2F" w:rsidRDefault="00BD1A7A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6662" w:type="dxa"/>
            <w:vAlign w:val="center"/>
          </w:tcPr>
          <w:p w14:paraId="7049D25D" w14:textId="3E5EE5CC" w:rsidR="00BD1A7A" w:rsidRPr="00ED5E2F" w:rsidRDefault="00BD1A7A" w:rsidP="00C227C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BD1A7A" w:rsidRPr="00ED5E2F" w14:paraId="03BBC2D3" w14:textId="77777777" w:rsidTr="00C227CB">
        <w:trPr>
          <w:trHeight w:val="314"/>
        </w:trPr>
        <w:tc>
          <w:tcPr>
            <w:tcW w:w="2694" w:type="dxa"/>
            <w:vAlign w:val="center"/>
          </w:tcPr>
          <w:p w14:paraId="615B696B" w14:textId="48301BF2" w:rsidR="00BD1A7A" w:rsidRPr="00ED5E2F" w:rsidRDefault="00BD1A7A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62" w:type="dxa"/>
            <w:vAlign w:val="center"/>
          </w:tcPr>
          <w:p w14:paraId="0AE81008" w14:textId="210D0F69" w:rsidR="00BD1A7A" w:rsidRPr="00C227CB" w:rsidRDefault="00BD1A7A" w:rsidP="00C227C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Мониторинговата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УО/</w:t>
            </w: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Финален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отчет</w:t>
            </w:r>
            <w:proofErr w:type="spellEnd"/>
          </w:p>
        </w:tc>
      </w:tr>
      <w:tr w:rsidR="00BD1A7A" w:rsidRPr="00ED5E2F" w14:paraId="376173B1" w14:textId="77777777" w:rsidTr="00C227CB">
        <w:trPr>
          <w:trHeight w:val="314"/>
        </w:trPr>
        <w:tc>
          <w:tcPr>
            <w:tcW w:w="2694" w:type="dxa"/>
            <w:vAlign w:val="center"/>
          </w:tcPr>
          <w:p w14:paraId="2C0D65E1" w14:textId="77FEF37F" w:rsidR="00BD1A7A" w:rsidRPr="00ED5E2F" w:rsidRDefault="00BD1A7A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62" w:type="dxa"/>
            <w:vAlign w:val="center"/>
          </w:tcPr>
          <w:p w14:paraId="190A335F" w14:textId="3AB001AE" w:rsidR="00BD1A7A" w:rsidRPr="00C227CB" w:rsidRDefault="00BD1A7A" w:rsidP="00C227C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След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одобрението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финалния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отчет</w:t>
            </w:r>
            <w:proofErr w:type="spellEnd"/>
          </w:p>
        </w:tc>
      </w:tr>
      <w:tr w:rsidR="00C227CB" w:rsidRPr="00ED5E2F" w14:paraId="41B224EA" w14:textId="77777777" w:rsidTr="0025584A">
        <w:trPr>
          <w:trHeight w:val="2545"/>
        </w:trPr>
        <w:tc>
          <w:tcPr>
            <w:tcW w:w="2694" w:type="dxa"/>
            <w:vAlign w:val="center"/>
          </w:tcPr>
          <w:p w14:paraId="0CBF9567" w14:textId="200607AD" w:rsidR="00C227CB" w:rsidRPr="00ED5E2F" w:rsidRDefault="00C227CB" w:rsidP="00C227C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6662" w:type="dxa"/>
            <w:vAlign w:val="center"/>
          </w:tcPr>
          <w:p w14:paraId="0F783000" w14:textId="0EF22128" w:rsidR="00917065" w:rsidRPr="002E36ED" w:rsidRDefault="00917065" w:rsidP="0091706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36ED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 по проекта</w:t>
            </w:r>
            <w:r w:rsidR="002E36ED" w:rsidRPr="002E36ED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;</w:t>
            </w:r>
          </w:p>
          <w:p w14:paraId="10D623C7" w14:textId="77777777" w:rsidR="00917065" w:rsidRPr="002E36ED" w:rsidRDefault="00917065" w:rsidP="0091706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36ED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Договор за доставка на ДМА/ДНА, приемо-предавателен протокол за доставка на ДМА/ДНА, подписан от бенефициента и изпълнителя;</w:t>
            </w:r>
          </w:p>
          <w:p w14:paraId="0227507B" w14:textId="77777777" w:rsidR="00917065" w:rsidRPr="002E36ED" w:rsidRDefault="00917065" w:rsidP="0091706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36ED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Документация за удостоверяване съответствието на функционалностите на реално доставените активи с допустимите по процедурата и със заложените по проекта: напр. лиценз/ протокол/ ръководство за функциониране и др., издадени от производител /доставчик </w:t>
            </w:r>
            <w:r w:rsidRPr="002E36ED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(ако е приложимо в зависимост от спецификата на</w:t>
            </w:r>
            <w:r w:rsidRPr="002E36ED">
              <w:t xml:space="preserve"> </w:t>
            </w:r>
            <w:r w:rsidRPr="002E36ED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съответната технология/актив</w:t>
            </w:r>
            <w:r w:rsidRPr="002E36ED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  <w:lang w:val="en-US"/>
              </w:rPr>
              <w:t>)</w:t>
            </w:r>
            <w:r w:rsidRPr="002E36ED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;</w:t>
            </w:r>
          </w:p>
          <w:p w14:paraId="3947213A" w14:textId="77777777" w:rsidR="00917065" w:rsidRPr="002E36ED" w:rsidRDefault="00917065" w:rsidP="0091706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36ED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Снимки на екран (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screenshot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), от които да са видими: производител; наименование, версия, сериен номер на продукта (номер на лиценз); снимка на екрана за вход в системата (login); заглавна страница; основни менюта, функции и възможности на доставен/и активи; записи на въведена/ генерирана информация в системата </w:t>
            </w:r>
            <w:r w:rsidRPr="002E36ED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(ако е приложимо в зависимост от спецификата на съответната технология</w:t>
            </w:r>
            <w:r w:rsidRPr="002E36ED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  <w:lang w:val="en-US"/>
              </w:rPr>
              <w:t>/</w:t>
            </w:r>
            <w:r w:rsidRPr="002E36ED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актив</w:t>
            </w:r>
            <w:r w:rsidRPr="002E36ED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  <w:lang w:val="en-US"/>
              </w:rPr>
              <w:t>)</w:t>
            </w:r>
            <w:r w:rsidRPr="002E36ED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;</w:t>
            </w:r>
          </w:p>
          <w:p w14:paraId="78D27DCB" w14:textId="77777777" w:rsidR="00917065" w:rsidRPr="002E36ED" w:rsidRDefault="00917065" w:rsidP="0091706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36ED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При доставка на физически актив – инвентарна книга/амортизационен план, снимки на въведения в експлоатация актив, вкл. на сериен номер, марка и модел;</w:t>
            </w:r>
          </w:p>
          <w:p w14:paraId="290441C6" w14:textId="0FDA90F2" w:rsidR="00917065" w:rsidRPr="00D5366B" w:rsidRDefault="00917065" w:rsidP="00D5366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25" w:lineRule="exact"/>
              <w:ind w:left="429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D5366B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Документи, удостоверяващи изградена и разписана съответна организация в дружеството, във връзка с внедрените нови технологии от Индустрия 4.0, например наръчници, правила, заповеди на ръководителя, справки от ERP системи, оперативни и мениджърски отчети, процесни карти, процедури и инструкции, информация от системите за ISO и други приложими вътрешнофирмени документи.</w:t>
            </w:r>
          </w:p>
          <w:p w14:paraId="2CD35009" w14:textId="6524C099" w:rsidR="00C227CB" w:rsidRPr="007805E5" w:rsidRDefault="00C227CB" w:rsidP="007805E5">
            <w:pPr>
              <w:widowControl w:val="0"/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</w:p>
        </w:tc>
      </w:tr>
      <w:tr w:rsidR="00BD1A7A" w:rsidRPr="00ED5E2F" w14:paraId="06204ED2" w14:textId="77777777" w:rsidTr="00C227CB">
        <w:trPr>
          <w:trHeight w:val="776"/>
        </w:trPr>
        <w:tc>
          <w:tcPr>
            <w:tcW w:w="2694" w:type="dxa"/>
            <w:vAlign w:val="center"/>
          </w:tcPr>
          <w:p w14:paraId="6DF94B69" w14:textId="77777777" w:rsidR="00BD1A7A" w:rsidRPr="00ED5E2F" w:rsidRDefault="00BD1A7A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Специфична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662" w:type="dxa"/>
            <w:vAlign w:val="center"/>
          </w:tcPr>
          <w:p w14:paraId="462149FD" w14:textId="35D24FB6" w:rsidR="00BD1A7A" w:rsidRPr="002E36ED" w:rsidRDefault="00DD42B1" w:rsidP="00C227C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RSO1.2.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Усвояване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ползите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цифровизацията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гражданите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дружествата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изследователските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публичните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органи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(ЕФРР)</w:t>
            </w:r>
          </w:p>
        </w:tc>
      </w:tr>
      <w:tr w:rsidR="0098077C" w:rsidRPr="00ED5E2F" w14:paraId="3D66EF82" w14:textId="77777777" w:rsidTr="00331EA4">
        <w:trPr>
          <w:trHeight w:val="1188"/>
        </w:trPr>
        <w:tc>
          <w:tcPr>
            <w:tcW w:w="2694" w:type="dxa"/>
            <w:vAlign w:val="center"/>
          </w:tcPr>
          <w:p w14:paraId="666AECC4" w14:textId="77777777" w:rsidR="0098077C" w:rsidRPr="00ED5E2F" w:rsidRDefault="0098077C" w:rsidP="0098077C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14:paraId="59877A2D" w14:textId="771553EA" w:rsidR="0098077C" w:rsidRPr="00ED5E2F" w:rsidRDefault="0098077C" w:rsidP="00C227C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включва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r w:rsidR="0012471B"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които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F4A8A"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="00FF4A8A"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F4A8A"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въвели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технологии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Индустрия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4.0, </w:t>
            </w:r>
            <w:proofErr w:type="spellStart"/>
            <w:r w:rsidR="003A153D"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разпределени</w:t>
            </w:r>
            <w:proofErr w:type="spellEnd"/>
            <w:r w:rsidR="003A153D"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="003A153D"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целите</w:t>
            </w:r>
            <w:proofErr w:type="spellEnd"/>
            <w:r w:rsidR="003A153D"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процедурата</w:t>
            </w:r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ниво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5 „</w:t>
            </w: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Прогнозен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капацитет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“ и </w:t>
            </w: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ниво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6 „</w:t>
            </w: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Приспособимост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“ </w:t>
            </w:r>
            <w:proofErr w:type="spellStart"/>
            <w:r w:rsidR="004C4530"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съгласно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Приложение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№ </w:t>
            </w:r>
            <w:r w:rsidR="002D591A"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C04668"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към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Условията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кандидатстване</w:t>
            </w:r>
            <w:proofErr w:type="spellEnd"/>
            <w:r w:rsidRPr="00C227C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5CC6711D" w14:textId="60033217" w:rsidR="00D45EF7" w:rsidRDefault="00D45EF7" w:rsidP="0023211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A590B7" w14:textId="7C9BAFF0" w:rsidR="00CB0ECD" w:rsidRDefault="00CB0ECD" w:rsidP="0023211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B972A2" w14:textId="29F06F40" w:rsidR="00CB0ECD" w:rsidRDefault="00CB0ECD" w:rsidP="0023211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E8A0BA" w14:textId="77777777" w:rsidR="00CB0ECD" w:rsidRPr="00ED5E2F" w:rsidRDefault="00CB0ECD" w:rsidP="0023211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6662"/>
      </w:tblGrid>
      <w:tr w:rsidR="00BD1A7A" w:rsidRPr="00ED5E2F" w14:paraId="519EBC7F" w14:textId="77777777" w:rsidTr="008E2F40">
        <w:trPr>
          <w:trHeight w:val="340"/>
        </w:trPr>
        <w:tc>
          <w:tcPr>
            <w:tcW w:w="2694" w:type="dxa"/>
            <w:shd w:val="clear" w:color="auto" w:fill="C5D9F0"/>
            <w:vAlign w:val="center"/>
          </w:tcPr>
          <w:p w14:paraId="7639FBB5" w14:textId="77777777" w:rsidR="00BD1A7A" w:rsidRPr="00ED5E2F" w:rsidRDefault="00BD1A7A" w:rsidP="00AE3534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662" w:type="dxa"/>
            <w:shd w:val="clear" w:color="auto" w:fill="C5D9F0"/>
            <w:vAlign w:val="center"/>
          </w:tcPr>
          <w:p w14:paraId="297A3DB9" w14:textId="58DB8236" w:rsidR="00BD1A7A" w:rsidRPr="00ED5E2F" w:rsidRDefault="00BD1A7A" w:rsidP="00AE3534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6FD9B4B5" w14:textId="77777777" w:rsidTr="00393697">
        <w:trPr>
          <w:trHeight w:val="316"/>
        </w:trPr>
        <w:tc>
          <w:tcPr>
            <w:tcW w:w="2694" w:type="dxa"/>
            <w:vAlign w:val="center"/>
          </w:tcPr>
          <w:p w14:paraId="3AE589A4" w14:textId="77777777" w:rsidR="00BD1A7A" w:rsidRPr="00ED5E2F" w:rsidRDefault="00BD1A7A" w:rsidP="00AE353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662" w:type="dxa"/>
            <w:vAlign w:val="center"/>
          </w:tcPr>
          <w:p w14:paraId="12DE290E" w14:textId="08E4289F" w:rsidR="00BD1A7A" w:rsidRPr="00393697" w:rsidRDefault="00BD1A7A" w:rsidP="0039369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ЕФРР</w:t>
            </w:r>
          </w:p>
        </w:tc>
      </w:tr>
      <w:tr w:rsidR="00BD1A7A" w:rsidRPr="00ED5E2F" w14:paraId="17E28AC3" w14:textId="77777777" w:rsidTr="00393697">
        <w:trPr>
          <w:trHeight w:val="314"/>
        </w:trPr>
        <w:tc>
          <w:tcPr>
            <w:tcW w:w="2694" w:type="dxa"/>
            <w:vAlign w:val="center"/>
          </w:tcPr>
          <w:p w14:paraId="41D5A658" w14:textId="77E41624" w:rsidR="00BD1A7A" w:rsidRPr="00ED5E2F" w:rsidRDefault="00BD1A7A" w:rsidP="00AE3534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662" w:type="dxa"/>
            <w:vAlign w:val="center"/>
          </w:tcPr>
          <w:p w14:paraId="3C5B5BEE" w14:textId="4BFC2A6E" w:rsidR="00BD1A7A" w:rsidRPr="00393697" w:rsidRDefault="0012471B" w:rsidP="0039369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3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SR04</w:t>
            </w:r>
          </w:p>
        </w:tc>
      </w:tr>
      <w:tr w:rsidR="00BD1A7A" w:rsidRPr="00ED5E2F" w14:paraId="1E12A37F" w14:textId="77777777" w:rsidTr="00393697">
        <w:trPr>
          <w:trHeight w:val="316"/>
        </w:trPr>
        <w:tc>
          <w:tcPr>
            <w:tcW w:w="2694" w:type="dxa"/>
            <w:vAlign w:val="center"/>
          </w:tcPr>
          <w:p w14:paraId="2991E5CC" w14:textId="77777777" w:rsidR="00BD1A7A" w:rsidRPr="004C4530" w:rsidRDefault="00BD1A7A" w:rsidP="00AE3534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5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662" w:type="dxa"/>
            <w:vAlign w:val="center"/>
          </w:tcPr>
          <w:p w14:paraId="5D298CFD" w14:textId="64682EC6" w:rsidR="00BD1A7A" w:rsidRPr="00393697" w:rsidRDefault="00DD42B1" w:rsidP="0039369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93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Брой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служители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в МСП,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преминали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обучения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умения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в областта на Индустрия 4.0</w:t>
            </w:r>
          </w:p>
        </w:tc>
      </w:tr>
      <w:tr w:rsidR="00BD1A7A" w:rsidRPr="00ED5E2F" w14:paraId="1A701E11" w14:textId="77777777" w:rsidTr="00393697">
        <w:trPr>
          <w:trHeight w:val="313"/>
        </w:trPr>
        <w:tc>
          <w:tcPr>
            <w:tcW w:w="2694" w:type="dxa"/>
            <w:vAlign w:val="center"/>
          </w:tcPr>
          <w:p w14:paraId="463E29B8" w14:textId="77777777" w:rsidR="00BD1A7A" w:rsidRPr="00ED5E2F" w:rsidRDefault="00BD1A7A" w:rsidP="00AE353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14:paraId="59D34E4F" w14:textId="77EC0452" w:rsidR="00BD1A7A" w:rsidRPr="00393697" w:rsidRDefault="0012471B" w:rsidP="0039369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</w:t>
            </w:r>
            <w:r w:rsidR="007379C9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лужители</w:t>
            </w:r>
            <w:proofErr w:type="spellEnd"/>
          </w:p>
        </w:tc>
      </w:tr>
      <w:tr w:rsidR="00BD1A7A" w:rsidRPr="00ED5E2F" w14:paraId="6FF35539" w14:textId="77777777" w:rsidTr="00393697">
        <w:trPr>
          <w:trHeight w:val="314"/>
        </w:trPr>
        <w:tc>
          <w:tcPr>
            <w:tcW w:w="2694" w:type="dxa"/>
            <w:vAlign w:val="center"/>
          </w:tcPr>
          <w:p w14:paraId="21F172E5" w14:textId="77777777" w:rsidR="00BD1A7A" w:rsidRPr="00ED5E2F" w:rsidRDefault="00BD1A7A" w:rsidP="00AE353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662" w:type="dxa"/>
            <w:vAlign w:val="center"/>
          </w:tcPr>
          <w:p w14:paraId="46D18BF7" w14:textId="0FB3B7B9" w:rsidR="00BD1A7A" w:rsidRPr="00393697" w:rsidRDefault="00BD1A7A" w:rsidP="0039369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резултат</w:t>
            </w:r>
            <w:proofErr w:type="spellEnd"/>
          </w:p>
        </w:tc>
      </w:tr>
      <w:tr w:rsidR="00BD1A7A" w:rsidRPr="00ED5E2F" w14:paraId="71EF2DBB" w14:textId="77777777" w:rsidTr="00393697">
        <w:trPr>
          <w:trHeight w:val="314"/>
        </w:trPr>
        <w:tc>
          <w:tcPr>
            <w:tcW w:w="2694" w:type="dxa"/>
            <w:vAlign w:val="center"/>
          </w:tcPr>
          <w:p w14:paraId="1B397C39" w14:textId="77777777" w:rsidR="00BD1A7A" w:rsidRPr="00ED5E2F" w:rsidRDefault="00BD1A7A" w:rsidP="00AE353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6662" w:type="dxa"/>
            <w:vAlign w:val="center"/>
          </w:tcPr>
          <w:p w14:paraId="075F6696" w14:textId="02BB05C5" w:rsidR="00BD1A7A" w:rsidRPr="00ED5E2F" w:rsidRDefault="00BD1A7A" w:rsidP="0039369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BD1A7A" w:rsidRPr="00ED5E2F" w14:paraId="59882641" w14:textId="77777777" w:rsidTr="00393697">
        <w:trPr>
          <w:trHeight w:val="314"/>
        </w:trPr>
        <w:tc>
          <w:tcPr>
            <w:tcW w:w="2694" w:type="dxa"/>
            <w:vAlign w:val="center"/>
          </w:tcPr>
          <w:p w14:paraId="3B4D0A5E" w14:textId="043266CE" w:rsidR="00BD1A7A" w:rsidRPr="00ED5E2F" w:rsidRDefault="00BD1A7A" w:rsidP="00AE353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62" w:type="dxa"/>
            <w:vAlign w:val="center"/>
          </w:tcPr>
          <w:p w14:paraId="15939357" w14:textId="60B57F0C" w:rsidR="00BD1A7A" w:rsidRPr="00393697" w:rsidRDefault="00BD1A7A" w:rsidP="0039369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Мониторинговата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УО/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Финален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отчет</w:t>
            </w:r>
            <w:proofErr w:type="spellEnd"/>
          </w:p>
        </w:tc>
      </w:tr>
      <w:tr w:rsidR="00BD1A7A" w:rsidRPr="00ED5E2F" w14:paraId="20D0851A" w14:textId="77777777" w:rsidTr="00393697">
        <w:trPr>
          <w:trHeight w:val="314"/>
        </w:trPr>
        <w:tc>
          <w:tcPr>
            <w:tcW w:w="2694" w:type="dxa"/>
            <w:vAlign w:val="center"/>
          </w:tcPr>
          <w:p w14:paraId="49C33C9A" w14:textId="79E8D1BF" w:rsidR="00BD1A7A" w:rsidRPr="00ED5E2F" w:rsidRDefault="00BD1A7A" w:rsidP="00AE353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62" w:type="dxa"/>
            <w:vAlign w:val="center"/>
          </w:tcPr>
          <w:p w14:paraId="61F8CCAA" w14:textId="1F293155" w:rsidR="00BD1A7A" w:rsidRPr="00393697" w:rsidRDefault="00BD1A7A" w:rsidP="0039369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След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одобрението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финалния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отчет</w:t>
            </w:r>
            <w:proofErr w:type="spellEnd"/>
          </w:p>
        </w:tc>
      </w:tr>
      <w:tr w:rsidR="00393697" w:rsidRPr="00ED5E2F" w14:paraId="0A3A3546" w14:textId="77777777" w:rsidTr="00393697">
        <w:trPr>
          <w:trHeight w:val="1077"/>
        </w:trPr>
        <w:tc>
          <w:tcPr>
            <w:tcW w:w="2694" w:type="dxa"/>
            <w:vAlign w:val="center"/>
          </w:tcPr>
          <w:p w14:paraId="08B57375" w14:textId="7105501C" w:rsidR="00393697" w:rsidRPr="00ED5E2F" w:rsidRDefault="00393697" w:rsidP="0039369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6662" w:type="dxa"/>
            <w:vAlign w:val="center"/>
          </w:tcPr>
          <w:p w14:paraId="50A051EE" w14:textId="107EE674" w:rsidR="00104D0B" w:rsidRPr="002E36ED" w:rsidRDefault="00104D0B" w:rsidP="0039369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Финален отчет</w:t>
            </w:r>
            <w:r w:rsid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341AFBCA" w14:textId="699ABF50" w:rsidR="00393697" w:rsidRPr="00ED5E2F" w:rsidRDefault="00393697" w:rsidP="00FB146A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Документи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удостоверяващи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преминато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обучение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персонала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който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ще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използва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новите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технологии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Индустрия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4.0,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например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удостоверения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сертификати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протоколи</w:t>
            </w:r>
            <w:proofErr w:type="spellEnd"/>
            <w:r w:rsidR="008B7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2E36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BD1A7A" w:rsidRPr="00ED5E2F" w14:paraId="0B1020BC" w14:textId="77777777" w:rsidTr="00331EA4">
        <w:trPr>
          <w:trHeight w:val="861"/>
        </w:trPr>
        <w:tc>
          <w:tcPr>
            <w:tcW w:w="2694" w:type="dxa"/>
            <w:vAlign w:val="center"/>
          </w:tcPr>
          <w:p w14:paraId="27B6235E" w14:textId="77777777" w:rsidR="00BD1A7A" w:rsidRPr="00ED5E2F" w:rsidRDefault="00BD1A7A" w:rsidP="00AE353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Специфична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662" w:type="dxa"/>
            <w:vAlign w:val="center"/>
          </w:tcPr>
          <w:p w14:paraId="1EA71653" w14:textId="69238BEB" w:rsidR="00BD1A7A" w:rsidRPr="00393697" w:rsidRDefault="00DD42B1" w:rsidP="0039369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RSO1.2.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Усвояване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ползите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цифровизацията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гражданите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дружествата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изследователските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публичните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органи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(ЕФРР)</w:t>
            </w:r>
          </w:p>
        </w:tc>
      </w:tr>
      <w:tr w:rsidR="00BD1A7A" w:rsidRPr="00ED5E2F" w14:paraId="5B651F43" w14:textId="77777777" w:rsidTr="00393697">
        <w:trPr>
          <w:trHeight w:val="756"/>
        </w:trPr>
        <w:tc>
          <w:tcPr>
            <w:tcW w:w="2694" w:type="dxa"/>
            <w:vAlign w:val="center"/>
          </w:tcPr>
          <w:p w14:paraId="7F24DA98" w14:textId="0E5BD903" w:rsidR="00BD1A7A" w:rsidRPr="00ED5E2F" w:rsidRDefault="00BD1A7A" w:rsidP="00AE3534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</w:p>
        </w:tc>
        <w:tc>
          <w:tcPr>
            <w:tcW w:w="6662" w:type="dxa"/>
            <w:vAlign w:val="center"/>
          </w:tcPr>
          <w:p w14:paraId="15DCCF28" w14:textId="6A9BDAE4" w:rsidR="00385504" w:rsidRPr="00393697" w:rsidRDefault="009C6303" w:rsidP="0039369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включва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броя</w:t>
            </w:r>
            <w:proofErr w:type="spellEnd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служителите</w:t>
            </w:r>
            <w:proofErr w:type="spellEnd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предприятието-</w:t>
            </w:r>
            <w:proofErr w:type="spellStart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кандидат</w:t>
            </w:r>
            <w:proofErr w:type="spellEnd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настоящата</w:t>
            </w:r>
            <w:proofErr w:type="spellEnd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процедура</w:t>
            </w:r>
            <w:proofErr w:type="spellEnd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преминали</w:t>
            </w:r>
            <w:proofErr w:type="spellEnd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обучение</w:t>
            </w:r>
            <w:proofErr w:type="spellEnd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повишаване</w:t>
            </w:r>
            <w:proofErr w:type="spellEnd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дигиталните</w:t>
            </w:r>
            <w:proofErr w:type="spellEnd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умения</w:t>
            </w:r>
            <w:proofErr w:type="spellEnd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персонала</w:t>
            </w:r>
            <w:proofErr w:type="spellEnd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във</w:t>
            </w:r>
            <w:proofErr w:type="spellEnd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връзка</w:t>
            </w:r>
            <w:proofErr w:type="spellEnd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въведените</w:t>
            </w:r>
            <w:proofErr w:type="spellEnd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85504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нови</w:t>
            </w:r>
            <w:proofErr w:type="spellEnd"/>
            <w:r w:rsidR="00385504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технологии</w:t>
            </w:r>
            <w:proofErr w:type="spellEnd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="0012471B"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Индустрия 4.0. </w:t>
            </w:r>
          </w:p>
          <w:p w14:paraId="4BA0302E" w14:textId="0DD467E7" w:rsidR="00BD1A7A" w:rsidRPr="00393697" w:rsidRDefault="00385504" w:rsidP="00A8420E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Всички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избрани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изпълнители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въвеждане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r w:rsidR="00A8420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технологиите от Индустрия 4.0</w:t>
            </w:r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задължително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трябва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осигурят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обучение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персонала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предприятието,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ангажиран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новите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технологии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проекта</w:t>
            </w:r>
            <w:proofErr w:type="spellEnd"/>
            <w:r w:rsidRPr="00393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393697" w:rsidDel="0038550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654E7A47" w14:textId="77777777" w:rsidR="008E2F40" w:rsidRDefault="008E2F40" w:rsidP="0023211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A9B7AD0" w14:textId="626D6F21" w:rsidR="00385504" w:rsidRDefault="00E90ED1" w:rsidP="0023211E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 xml:space="preserve">ВАЖНО: </w:t>
      </w:r>
      <w:r w:rsidR="006F34B1" w:rsidRPr="00385504">
        <w:rPr>
          <w:rFonts w:ascii="Times New Roman" w:hAnsi="Times New Roman" w:cs="Times New Roman"/>
          <w:sz w:val="24"/>
          <w:szCs w:val="24"/>
        </w:rPr>
        <w:t xml:space="preserve">Допълнителна информация по отношение на индикаторите е представена в </w:t>
      </w:r>
      <w:r w:rsidR="006F34B1" w:rsidRPr="001078CF">
        <w:rPr>
          <w:rFonts w:ascii="Times New Roman" w:hAnsi="Times New Roman" w:cs="Times New Roman"/>
          <w:sz w:val="24"/>
          <w:szCs w:val="24"/>
        </w:rPr>
        <w:t xml:space="preserve">Примерните указания за попълване на електронния Формуляр за кандидатстване </w:t>
      </w:r>
      <w:r w:rsidR="0041121F" w:rsidRPr="001078CF">
        <w:rPr>
          <w:rFonts w:ascii="Times New Roman" w:hAnsi="Times New Roman" w:cs="Times New Roman"/>
          <w:sz w:val="24"/>
          <w:szCs w:val="24"/>
        </w:rPr>
        <w:t>(</w:t>
      </w:r>
      <w:r w:rsidR="006F34B1" w:rsidRPr="001078C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12EB1" w:rsidRPr="001078CF">
        <w:rPr>
          <w:rFonts w:ascii="Times New Roman" w:hAnsi="Times New Roman" w:cs="Times New Roman"/>
          <w:sz w:val="24"/>
          <w:szCs w:val="24"/>
        </w:rPr>
        <w:t>7</w:t>
      </w:r>
      <w:r w:rsidR="0041121F" w:rsidRPr="001078CF">
        <w:rPr>
          <w:rFonts w:ascii="Times New Roman" w:hAnsi="Times New Roman" w:cs="Times New Roman"/>
          <w:sz w:val="24"/>
          <w:szCs w:val="24"/>
        </w:rPr>
        <w:t>)</w:t>
      </w:r>
      <w:r w:rsidR="006F34B1" w:rsidRPr="001078CF">
        <w:rPr>
          <w:rFonts w:ascii="Times New Roman" w:hAnsi="Times New Roman" w:cs="Times New Roman"/>
          <w:sz w:val="24"/>
          <w:szCs w:val="24"/>
        </w:rPr>
        <w:t xml:space="preserve">, където </w:t>
      </w:r>
      <w:r w:rsidR="007A4FD4" w:rsidRPr="001078CF">
        <w:rPr>
          <w:rFonts w:ascii="Times New Roman" w:hAnsi="Times New Roman" w:cs="Times New Roman"/>
          <w:sz w:val="24"/>
          <w:szCs w:val="24"/>
        </w:rPr>
        <w:t>са дадени</w:t>
      </w:r>
      <w:r w:rsidR="006F34B1" w:rsidRPr="001078CF">
        <w:rPr>
          <w:rFonts w:ascii="Times New Roman" w:hAnsi="Times New Roman" w:cs="Times New Roman"/>
          <w:sz w:val="24"/>
          <w:szCs w:val="24"/>
        </w:rPr>
        <w:t xml:space="preserve"> подробни насоки относно всеки един от </w:t>
      </w:r>
      <w:r w:rsidR="0041121F" w:rsidRPr="001078CF">
        <w:rPr>
          <w:rFonts w:ascii="Times New Roman" w:hAnsi="Times New Roman" w:cs="Times New Roman"/>
          <w:sz w:val="24"/>
          <w:szCs w:val="24"/>
        </w:rPr>
        <w:t xml:space="preserve">посочените </w:t>
      </w:r>
      <w:r w:rsidR="006F34B1" w:rsidRPr="001078CF">
        <w:rPr>
          <w:rFonts w:ascii="Times New Roman" w:hAnsi="Times New Roman" w:cs="Times New Roman"/>
          <w:sz w:val="24"/>
          <w:szCs w:val="24"/>
        </w:rPr>
        <w:t>индикатори и тяхната приложимост.</w:t>
      </w:r>
    </w:p>
    <w:p w14:paraId="1B4D2739" w14:textId="77777777" w:rsidR="00CB0ECD" w:rsidRPr="00385504" w:rsidRDefault="00CB0ECD" w:rsidP="0023211E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CB0ECD" w:rsidRPr="00385504" w:rsidSect="003062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61D89" w14:textId="77777777" w:rsidR="005563B9" w:rsidRDefault="005563B9" w:rsidP="00FB67A6">
      <w:pPr>
        <w:spacing w:after="0" w:line="240" w:lineRule="auto"/>
      </w:pPr>
      <w:r>
        <w:separator/>
      </w:r>
    </w:p>
  </w:endnote>
  <w:endnote w:type="continuationSeparator" w:id="0">
    <w:p w14:paraId="4B2B92B8" w14:textId="77777777" w:rsidR="005563B9" w:rsidRDefault="005563B9" w:rsidP="00FB6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7F7A3" w14:textId="77777777" w:rsidR="00796042" w:rsidRDefault="007960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1577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75D27BE6" w14:textId="321E1C58" w:rsidR="003D42A1" w:rsidRDefault="003D42A1">
        <w:pPr>
          <w:pStyle w:val="Footer"/>
          <w:jc w:val="center"/>
        </w:pPr>
        <w:r w:rsidRPr="002B1B9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B1B9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B1B9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9436F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2B1B9E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7390B2FC" w14:textId="77777777" w:rsidR="003D42A1" w:rsidRDefault="003D42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FEA88" w14:textId="77777777" w:rsidR="00796042" w:rsidRDefault="007960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C3F85" w14:textId="77777777" w:rsidR="005563B9" w:rsidRDefault="005563B9" w:rsidP="00FB67A6">
      <w:pPr>
        <w:spacing w:after="0" w:line="240" w:lineRule="auto"/>
      </w:pPr>
      <w:r>
        <w:separator/>
      </w:r>
    </w:p>
  </w:footnote>
  <w:footnote w:type="continuationSeparator" w:id="0">
    <w:p w14:paraId="15698FF7" w14:textId="77777777" w:rsidR="005563B9" w:rsidRDefault="005563B9" w:rsidP="00FB67A6">
      <w:pPr>
        <w:spacing w:after="0" w:line="240" w:lineRule="auto"/>
      </w:pPr>
      <w:r>
        <w:continuationSeparator/>
      </w:r>
    </w:p>
  </w:footnote>
  <w:footnote w:id="1">
    <w:p w14:paraId="54072002" w14:textId="77777777" w:rsidR="003D42A1" w:rsidRPr="00654B71" w:rsidRDefault="003D42A1" w:rsidP="00E70625">
      <w:pPr>
        <w:pStyle w:val="FootnoteText"/>
        <w:jc w:val="both"/>
        <w:rPr>
          <w:rFonts w:ascii="Times New Roman" w:hAnsi="Times New Roman" w:cs="Times New Roman"/>
        </w:rPr>
      </w:pPr>
      <w:r w:rsidRPr="00654B71">
        <w:rPr>
          <w:rStyle w:val="FootnoteReference"/>
          <w:rFonts w:ascii="Times New Roman" w:hAnsi="Times New Roman" w:cs="Times New Roman"/>
        </w:rPr>
        <w:footnoteRef/>
      </w:r>
      <w:r w:rsidRPr="00654B71">
        <w:rPr>
          <w:rFonts w:ascii="Times New Roman" w:hAnsi="Times New Roman" w:cs="Times New Roman"/>
        </w:rPr>
        <w:t xml:space="preserve"> Настоящото приложение е изготвено въз основа на Работения документ на службите на Комисията „Изпълнение, мониторинг и оценка на Европейския фонд за регионално развитие, Кохезионния фонд и Фонда за справедлив преход през 2021-2027 г.</w:t>
      </w:r>
      <w:r>
        <w:rPr>
          <w:rFonts w:ascii="Times New Roman" w:hAnsi="Times New Roman" w:cs="Times New Roman"/>
        </w:rPr>
        <w:t>“</w:t>
      </w:r>
      <w:r w:rsidRPr="00654B71">
        <w:rPr>
          <w:rFonts w:ascii="Times New Roman" w:hAnsi="Times New Roman" w:cs="Times New Roman"/>
        </w:rPr>
        <w:t xml:space="preserve">, като са отчетени спецификите на </w:t>
      </w:r>
      <w:r>
        <w:rPr>
          <w:rFonts w:ascii="Times New Roman" w:hAnsi="Times New Roman" w:cs="Times New Roman"/>
        </w:rPr>
        <w:t xml:space="preserve">настоящата </w:t>
      </w:r>
      <w:r w:rsidRPr="00654B71">
        <w:rPr>
          <w:rFonts w:ascii="Times New Roman" w:hAnsi="Times New Roman" w:cs="Times New Roman"/>
        </w:rPr>
        <w:t>процедура, по която ще се отчитат съответните индикатори.</w:t>
      </w:r>
    </w:p>
  </w:footnote>
  <w:footnote w:id="2">
    <w:p w14:paraId="3F718AB8" w14:textId="72696098" w:rsidR="003A61C0" w:rsidRPr="003A61C0" w:rsidRDefault="003A61C0" w:rsidP="003A61C0">
      <w:pPr>
        <w:pStyle w:val="FootnoteText"/>
        <w:jc w:val="both"/>
        <w:rPr>
          <w:rFonts w:ascii="Times New Roman" w:hAnsi="Times New Roman" w:cs="Times New Roman"/>
        </w:rPr>
      </w:pPr>
      <w:r w:rsidRPr="003A61C0">
        <w:rPr>
          <w:rStyle w:val="FootnoteReference"/>
          <w:rFonts w:ascii="Times New Roman" w:hAnsi="Times New Roman" w:cs="Times New Roman"/>
        </w:rPr>
        <w:footnoteRef/>
      </w:r>
      <w:r w:rsidRPr="003A61C0">
        <w:rPr>
          <w:rFonts w:ascii="Times New Roman" w:hAnsi="Times New Roman" w:cs="Times New Roman"/>
        </w:rPr>
        <w:t xml:space="preserve"> </w:t>
      </w:r>
      <w:r w:rsidR="007A6366" w:rsidRPr="007A6366">
        <w:rPr>
          <w:rFonts w:ascii="Times New Roman" w:hAnsi="Times New Roman" w:cs="Times New Roman"/>
        </w:rPr>
        <w:t>В случай на предприятие, което използва комбинирана подкрепа от БФП по процедурата с ФИ „Портфейлна гаранция с таван на загубите за дигитализация“, индикаторът се брои еднократно.</w:t>
      </w:r>
    </w:p>
  </w:footnote>
  <w:footnote w:id="3">
    <w:p w14:paraId="1710A34F" w14:textId="02066EFE" w:rsidR="00227CF8" w:rsidRPr="00227CF8" w:rsidRDefault="00227CF8" w:rsidP="00227CF8">
      <w:pPr>
        <w:pStyle w:val="FootnoteText"/>
        <w:jc w:val="both"/>
        <w:rPr>
          <w:rFonts w:ascii="Times New Roman" w:hAnsi="Times New Roman" w:cs="Times New Roman"/>
        </w:rPr>
      </w:pPr>
      <w:r w:rsidRPr="00227CF8">
        <w:rPr>
          <w:rStyle w:val="FootnoteReference"/>
          <w:rFonts w:ascii="Times New Roman" w:hAnsi="Times New Roman" w:cs="Times New Roman"/>
        </w:rPr>
        <w:footnoteRef/>
      </w:r>
      <w:r w:rsidRPr="00227CF8">
        <w:rPr>
          <w:rFonts w:ascii="Times New Roman" w:hAnsi="Times New Roman" w:cs="Times New Roman"/>
        </w:rPr>
        <w:t xml:space="preserve"> Посочената в проекта целева стойност по индикатора „Стойност на цифрови услуги, продукти и процеси“ отразява прогнозна оценка към момента на кандидатстване, а постигането й зависи от обстоятелства, проявяващи се при реализацията на проекта. При доказано съответствие между изпълнените дейности, целите на проекта и постигнат краен резултат, отклонение в стойността на индикатора, което е поради обективни и документирани обстоятелства, няма да се приема като основание за налагане на финансова корекция.</w:t>
      </w:r>
    </w:p>
  </w:footnote>
  <w:footnote w:id="4">
    <w:p w14:paraId="3F0DD2F1" w14:textId="458D6EA4" w:rsidR="00565E4D" w:rsidRPr="00A4554E" w:rsidRDefault="00565E4D" w:rsidP="00A4554E">
      <w:pPr>
        <w:pStyle w:val="FootnoteText"/>
        <w:ind w:right="-22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565E4D">
        <w:rPr>
          <w:rFonts w:ascii="Times New Roman" w:hAnsi="Times New Roman" w:cs="Times New Roman"/>
          <w:sz w:val="16"/>
          <w:szCs w:val="16"/>
        </w:rPr>
        <w:t>Съгласно Индекса на зрялост – Индустрия 4.0 (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Industry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 4.0), разработен от Интердисциплинарен консорциум (RWTH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AachenUniversity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Technische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Universitat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Darmstadt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Fraunhofer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 Institute,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German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Research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Center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for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Artificial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Intelligence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, TU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Dortmund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University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>, TUV SUD AG и др.). Моделът на зрялост съгласно Индустрия 4.0 се състои от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1078CF">
        <w:rPr>
          <w:rFonts w:ascii="Times New Roman" w:hAnsi="Times New Roman" w:cs="Times New Roman"/>
          <w:sz w:val="16"/>
          <w:szCs w:val="16"/>
        </w:rPr>
        <w:t>шест последователни етапа (нива на дигитализация съгласно индекса на зрялост за Индустрия 4.0), през които предприятията пре</w:t>
      </w:r>
      <w:r w:rsidRPr="00565E4D">
        <w:rPr>
          <w:rFonts w:ascii="Times New Roman" w:hAnsi="Times New Roman" w:cs="Times New Roman"/>
          <w:sz w:val="16"/>
          <w:szCs w:val="16"/>
        </w:rPr>
        <w:t xml:space="preserve">минават, докато надграждат своите цифрови възможности. Подкрепата по процедурата е насочена към </w:t>
      </w:r>
      <w:r w:rsidR="001078CF" w:rsidRPr="001078CF">
        <w:rPr>
          <w:rFonts w:ascii="Times New Roman" w:hAnsi="Times New Roman" w:cs="Times New Roman"/>
          <w:sz w:val="16"/>
          <w:szCs w:val="16"/>
        </w:rPr>
        <w:t>въвеждане на технологии от последните четири нива на дигитализация, съгласно Индекса на зрялост – Индустрия 4.0</w:t>
      </w:r>
      <w:r w:rsidR="001078CF">
        <w:rPr>
          <w:rFonts w:ascii="Times New Roman" w:hAnsi="Times New Roman" w:cs="Times New Roman"/>
          <w:sz w:val="16"/>
          <w:szCs w:val="16"/>
        </w:rPr>
        <w:t>:</w:t>
      </w:r>
      <w:r w:rsidR="001078CF" w:rsidRPr="001078CF">
        <w:rPr>
          <w:rFonts w:ascii="Times New Roman" w:hAnsi="Times New Roman" w:cs="Times New Roman"/>
          <w:sz w:val="16"/>
          <w:szCs w:val="16"/>
        </w:rPr>
        <w:t xml:space="preserve"> ниво 3 „Видимост“, ниво 4 „Прозрачност“, ниво 5 „Прогнозен капацитет“ и ниво 6 „Приспособимост“</w:t>
      </w:r>
      <w:r w:rsidRPr="00565E4D">
        <w:rPr>
          <w:rFonts w:ascii="Times New Roman" w:hAnsi="Times New Roman" w:cs="Times New Roman"/>
          <w:sz w:val="16"/>
          <w:szCs w:val="16"/>
        </w:rPr>
        <w:t xml:space="preserve">. </w:t>
      </w:r>
      <w:r w:rsidR="001078CF" w:rsidRPr="001078CF">
        <w:rPr>
          <w:rFonts w:ascii="Times New Roman" w:hAnsi="Times New Roman" w:cs="Times New Roman"/>
          <w:sz w:val="16"/>
          <w:szCs w:val="16"/>
        </w:rPr>
        <w:t>Допълнителна информация за шестте нива (етапи) на дигитализация съгласно Индекса на зрялост за Индустрия 4.0 е представена в Приложение 10 към Условията за кандидатстване</w:t>
      </w:r>
      <w:r w:rsidRPr="00565E4D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21FCC" w14:textId="5CE16271" w:rsidR="00796042" w:rsidRDefault="007960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660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1763"/>
      <w:gridCol w:w="3577"/>
    </w:tblGrid>
    <w:tr w:rsidR="003D42A1" w:rsidRPr="00FB67A6" w14:paraId="3B564A06" w14:textId="77777777" w:rsidTr="00251BA9">
      <w:trPr>
        <w:trHeight w:val="684"/>
      </w:trPr>
      <w:tc>
        <w:tcPr>
          <w:tcW w:w="3320" w:type="dxa"/>
        </w:tcPr>
        <w:p w14:paraId="3F2A7A46" w14:textId="77777777" w:rsidR="003D42A1" w:rsidRPr="00FB67A6" w:rsidRDefault="003D42A1" w:rsidP="00FB67A6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FB67A6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1FF6DC9E" wp14:editId="5C7A6407">
                <wp:extent cx="2009775" cy="4667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63" w:type="dxa"/>
        </w:tcPr>
        <w:p w14:paraId="597170C2" w14:textId="77777777" w:rsidR="003D42A1" w:rsidRPr="00FB67A6" w:rsidRDefault="003D42A1" w:rsidP="00FB67A6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577" w:type="dxa"/>
        </w:tcPr>
        <w:p w14:paraId="6FFF9725" w14:textId="1F3BE2B7" w:rsidR="003D42A1" w:rsidRPr="00FB67A6" w:rsidRDefault="003D42A1" w:rsidP="00FB67A6">
          <w:pPr>
            <w:jc w:val="center"/>
            <w:rPr>
              <w:rFonts w:ascii="Calibri" w:eastAsia="Calibri" w:hAnsi="Calibri" w:cs="Times New Roman"/>
            </w:rPr>
          </w:pP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B453C3">
            <w:rPr>
              <w:rFonts w:ascii="Calibri" w:eastAsia="Calibri" w:hAnsi="Calibri" w:cs="Times New Roman"/>
              <w:noProof/>
            </w:rPr>
            <w:fldChar w:fldCharType="begin"/>
          </w:r>
          <w:r w:rsidR="00B453C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453C3">
            <w:rPr>
              <w:rFonts w:ascii="Calibri" w:eastAsia="Calibri" w:hAnsi="Calibri" w:cs="Times New Roman"/>
              <w:noProof/>
            </w:rPr>
            <w:fldChar w:fldCharType="separate"/>
          </w:r>
          <w:r w:rsidR="00C2521C">
            <w:rPr>
              <w:rFonts w:ascii="Calibri" w:eastAsia="Calibri" w:hAnsi="Calibri" w:cs="Times New Roman"/>
              <w:noProof/>
            </w:rPr>
            <w:fldChar w:fldCharType="begin"/>
          </w:r>
          <w:r w:rsidR="00C2521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2521C">
            <w:rPr>
              <w:rFonts w:ascii="Calibri" w:eastAsia="Calibri" w:hAnsi="Calibri" w:cs="Times New Roman"/>
              <w:noProof/>
            </w:rPr>
            <w:fldChar w:fldCharType="separate"/>
          </w:r>
          <w:r w:rsidR="009271BE">
            <w:rPr>
              <w:rFonts w:ascii="Calibri" w:eastAsia="Calibri" w:hAnsi="Calibri" w:cs="Times New Roman"/>
              <w:noProof/>
            </w:rPr>
            <w:fldChar w:fldCharType="begin"/>
          </w:r>
          <w:r w:rsidR="009271B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9271BE">
            <w:rPr>
              <w:rFonts w:ascii="Calibri" w:eastAsia="Calibri" w:hAnsi="Calibri" w:cs="Times New Roman"/>
              <w:noProof/>
            </w:rPr>
            <w:fldChar w:fldCharType="separate"/>
          </w:r>
          <w:r w:rsidR="000D4C7B">
            <w:rPr>
              <w:rFonts w:ascii="Calibri" w:eastAsia="Calibri" w:hAnsi="Calibri" w:cs="Times New Roman"/>
              <w:noProof/>
            </w:rPr>
            <w:fldChar w:fldCharType="begin"/>
          </w:r>
          <w:r w:rsidR="000D4C7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D4C7B">
            <w:rPr>
              <w:rFonts w:ascii="Calibri" w:eastAsia="Calibri" w:hAnsi="Calibri" w:cs="Times New Roman"/>
              <w:noProof/>
            </w:rPr>
            <w:fldChar w:fldCharType="separate"/>
          </w:r>
          <w:r w:rsidR="00EC4041">
            <w:rPr>
              <w:rFonts w:ascii="Calibri" w:eastAsia="Calibri" w:hAnsi="Calibri" w:cs="Times New Roman"/>
              <w:noProof/>
            </w:rPr>
            <w:fldChar w:fldCharType="begin"/>
          </w:r>
          <w:r w:rsidR="00EC404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C4041">
            <w:rPr>
              <w:rFonts w:ascii="Calibri" w:eastAsia="Calibri" w:hAnsi="Calibri" w:cs="Times New Roman"/>
              <w:noProof/>
            </w:rPr>
            <w:fldChar w:fldCharType="separate"/>
          </w:r>
          <w:r w:rsidR="0001335E">
            <w:rPr>
              <w:rFonts w:ascii="Calibri" w:eastAsia="Calibri" w:hAnsi="Calibri" w:cs="Times New Roman"/>
              <w:noProof/>
            </w:rPr>
            <w:fldChar w:fldCharType="begin"/>
          </w:r>
          <w:r w:rsidR="0001335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1335E">
            <w:rPr>
              <w:rFonts w:ascii="Calibri" w:eastAsia="Calibri" w:hAnsi="Calibri" w:cs="Times New Roman"/>
              <w:noProof/>
            </w:rPr>
            <w:fldChar w:fldCharType="separate"/>
          </w:r>
          <w:r w:rsidR="00AD0EF8">
            <w:rPr>
              <w:rFonts w:ascii="Calibri" w:eastAsia="Calibri" w:hAnsi="Calibri" w:cs="Times New Roman"/>
              <w:noProof/>
            </w:rPr>
            <w:fldChar w:fldCharType="begin"/>
          </w:r>
          <w:r w:rsidR="00AD0EF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D0EF8">
            <w:rPr>
              <w:rFonts w:ascii="Calibri" w:eastAsia="Calibri" w:hAnsi="Calibri" w:cs="Times New Roman"/>
              <w:noProof/>
            </w:rPr>
            <w:fldChar w:fldCharType="separate"/>
          </w:r>
          <w:r w:rsidR="00B90781">
            <w:rPr>
              <w:rFonts w:ascii="Calibri" w:eastAsia="Calibri" w:hAnsi="Calibri" w:cs="Times New Roman"/>
              <w:noProof/>
            </w:rPr>
            <w:fldChar w:fldCharType="begin"/>
          </w:r>
          <w:r w:rsidR="00B9078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90781">
            <w:rPr>
              <w:rFonts w:ascii="Calibri" w:eastAsia="Calibri" w:hAnsi="Calibri" w:cs="Times New Roman"/>
              <w:noProof/>
            </w:rPr>
            <w:fldChar w:fldCharType="separate"/>
          </w:r>
          <w:r w:rsidR="0052350C">
            <w:rPr>
              <w:rFonts w:ascii="Calibri" w:eastAsia="Calibri" w:hAnsi="Calibri" w:cs="Times New Roman"/>
              <w:noProof/>
            </w:rPr>
            <w:fldChar w:fldCharType="begin"/>
          </w:r>
          <w:r w:rsidR="0052350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2350C">
            <w:rPr>
              <w:rFonts w:ascii="Calibri" w:eastAsia="Calibri" w:hAnsi="Calibri" w:cs="Times New Roman"/>
              <w:noProof/>
            </w:rPr>
            <w:fldChar w:fldCharType="separate"/>
          </w:r>
          <w:r w:rsidR="000B3FDA">
            <w:rPr>
              <w:rFonts w:ascii="Calibri" w:eastAsia="Calibri" w:hAnsi="Calibri" w:cs="Times New Roman"/>
              <w:noProof/>
            </w:rPr>
            <w:fldChar w:fldCharType="begin"/>
          </w:r>
          <w:r w:rsidR="000B3FD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B3FDA">
            <w:rPr>
              <w:rFonts w:ascii="Calibri" w:eastAsia="Calibri" w:hAnsi="Calibri" w:cs="Times New Roman"/>
              <w:noProof/>
            </w:rPr>
            <w:fldChar w:fldCharType="separate"/>
          </w:r>
          <w:r w:rsidR="00B711DC">
            <w:rPr>
              <w:rFonts w:ascii="Calibri" w:eastAsia="Calibri" w:hAnsi="Calibri" w:cs="Times New Roman"/>
              <w:noProof/>
            </w:rPr>
            <w:fldChar w:fldCharType="begin"/>
          </w:r>
          <w:r w:rsidR="00B711D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711DC">
            <w:rPr>
              <w:rFonts w:ascii="Calibri" w:eastAsia="Calibri" w:hAnsi="Calibri" w:cs="Times New Roman"/>
              <w:noProof/>
            </w:rPr>
            <w:fldChar w:fldCharType="separate"/>
          </w:r>
          <w:r w:rsidR="00120A86">
            <w:rPr>
              <w:rFonts w:ascii="Calibri" w:eastAsia="Calibri" w:hAnsi="Calibri" w:cs="Times New Roman"/>
              <w:noProof/>
            </w:rPr>
            <w:fldChar w:fldCharType="begin"/>
          </w:r>
          <w:r w:rsidR="00120A8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120A86">
            <w:rPr>
              <w:rFonts w:ascii="Calibri" w:eastAsia="Calibri" w:hAnsi="Calibri" w:cs="Times New Roman"/>
              <w:noProof/>
            </w:rPr>
            <w:fldChar w:fldCharType="separate"/>
          </w:r>
          <w:r w:rsidR="00041A0E">
            <w:rPr>
              <w:rFonts w:ascii="Calibri" w:eastAsia="Calibri" w:hAnsi="Calibri" w:cs="Times New Roman"/>
              <w:noProof/>
            </w:rPr>
            <w:fldChar w:fldCharType="begin"/>
          </w:r>
          <w:r w:rsidR="00041A0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41A0E">
            <w:rPr>
              <w:rFonts w:ascii="Calibri" w:eastAsia="Calibri" w:hAnsi="Calibri" w:cs="Times New Roman"/>
              <w:noProof/>
            </w:rPr>
            <w:fldChar w:fldCharType="separate"/>
          </w:r>
          <w:r w:rsidR="0035502D">
            <w:rPr>
              <w:rFonts w:ascii="Calibri" w:eastAsia="Calibri" w:hAnsi="Calibri" w:cs="Times New Roman"/>
              <w:noProof/>
            </w:rPr>
            <w:fldChar w:fldCharType="begin"/>
          </w:r>
          <w:r w:rsidR="0035502D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35502D">
            <w:rPr>
              <w:rFonts w:ascii="Calibri" w:eastAsia="Calibri" w:hAnsi="Calibri" w:cs="Times New Roman"/>
              <w:noProof/>
            </w:rPr>
            <w:fldChar w:fldCharType="separate"/>
          </w:r>
          <w:r w:rsidR="00312984">
            <w:rPr>
              <w:rFonts w:ascii="Calibri" w:eastAsia="Calibri" w:hAnsi="Calibri" w:cs="Times New Roman"/>
              <w:noProof/>
            </w:rPr>
            <w:fldChar w:fldCharType="begin"/>
          </w:r>
          <w:r w:rsidR="0031298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312984">
            <w:rPr>
              <w:rFonts w:ascii="Calibri" w:eastAsia="Calibri" w:hAnsi="Calibri" w:cs="Times New Roman"/>
              <w:noProof/>
            </w:rPr>
            <w:fldChar w:fldCharType="separate"/>
          </w:r>
          <w:r w:rsidR="004B134E">
            <w:rPr>
              <w:rFonts w:ascii="Calibri" w:eastAsia="Calibri" w:hAnsi="Calibri" w:cs="Times New Roman"/>
              <w:noProof/>
            </w:rPr>
            <w:fldChar w:fldCharType="begin"/>
          </w:r>
          <w:r w:rsidR="004B134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B134E">
            <w:rPr>
              <w:rFonts w:ascii="Calibri" w:eastAsia="Calibri" w:hAnsi="Calibri" w:cs="Times New Roman"/>
              <w:noProof/>
            </w:rPr>
            <w:fldChar w:fldCharType="separate"/>
          </w:r>
          <w:r w:rsidR="008235E1">
            <w:rPr>
              <w:rFonts w:ascii="Calibri" w:eastAsia="Calibri" w:hAnsi="Calibri" w:cs="Times New Roman"/>
              <w:noProof/>
            </w:rPr>
            <w:fldChar w:fldCharType="begin"/>
          </w:r>
          <w:r w:rsidR="008235E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8235E1">
            <w:rPr>
              <w:rFonts w:ascii="Calibri" w:eastAsia="Calibri" w:hAnsi="Calibri" w:cs="Times New Roman"/>
              <w:noProof/>
            </w:rPr>
            <w:fldChar w:fldCharType="separate"/>
          </w:r>
          <w:r w:rsidR="00274ADA">
            <w:rPr>
              <w:rFonts w:ascii="Calibri" w:eastAsia="Calibri" w:hAnsi="Calibri" w:cs="Times New Roman"/>
              <w:noProof/>
            </w:rPr>
            <w:fldChar w:fldCharType="begin"/>
          </w:r>
          <w:r w:rsidR="00274AD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74ADA">
            <w:rPr>
              <w:rFonts w:ascii="Calibri" w:eastAsia="Calibri" w:hAnsi="Calibri" w:cs="Times New Roman"/>
              <w:noProof/>
            </w:rPr>
            <w:fldChar w:fldCharType="separate"/>
          </w:r>
          <w:r w:rsidR="0050391E">
            <w:rPr>
              <w:rFonts w:ascii="Calibri" w:eastAsia="Calibri" w:hAnsi="Calibri" w:cs="Times New Roman"/>
              <w:noProof/>
            </w:rPr>
            <w:fldChar w:fldCharType="begin"/>
          </w:r>
          <w:r w:rsidR="0050391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0391E">
            <w:rPr>
              <w:rFonts w:ascii="Calibri" w:eastAsia="Calibri" w:hAnsi="Calibri" w:cs="Times New Roman"/>
              <w:noProof/>
            </w:rPr>
            <w:fldChar w:fldCharType="separate"/>
          </w:r>
          <w:r w:rsidR="007350D4">
            <w:rPr>
              <w:rFonts w:ascii="Calibri" w:eastAsia="Calibri" w:hAnsi="Calibri" w:cs="Times New Roman"/>
              <w:noProof/>
            </w:rPr>
            <w:fldChar w:fldCharType="begin"/>
          </w:r>
          <w:r w:rsidR="007350D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7350D4">
            <w:rPr>
              <w:rFonts w:ascii="Calibri" w:eastAsia="Calibri" w:hAnsi="Calibri" w:cs="Times New Roman"/>
              <w:noProof/>
            </w:rPr>
            <w:fldChar w:fldCharType="separate"/>
          </w:r>
          <w:r w:rsidR="00917710">
            <w:rPr>
              <w:rFonts w:ascii="Calibri" w:eastAsia="Calibri" w:hAnsi="Calibri" w:cs="Times New Roman"/>
              <w:noProof/>
            </w:rPr>
            <w:fldChar w:fldCharType="begin"/>
          </w:r>
          <w:r w:rsidR="0091771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917710">
            <w:rPr>
              <w:rFonts w:ascii="Calibri" w:eastAsia="Calibri" w:hAnsi="Calibri" w:cs="Times New Roman"/>
              <w:noProof/>
            </w:rPr>
            <w:fldChar w:fldCharType="separate"/>
          </w:r>
          <w:r w:rsidR="005563B9">
            <w:rPr>
              <w:rFonts w:ascii="Calibri" w:eastAsia="Calibri" w:hAnsi="Calibri" w:cs="Times New Roman"/>
              <w:noProof/>
            </w:rPr>
            <w:fldChar w:fldCharType="begin"/>
          </w:r>
          <w:r w:rsidR="005563B9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5563B9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5563B9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5563B9">
            <w:rPr>
              <w:rFonts w:ascii="Calibri" w:eastAsia="Calibri" w:hAnsi="Calibri" w:cs="Times New Roman"/>
              <w:noProof/>
            </w:rPr>
            <w:fldChar w:fldCharType="separate"/>
          </w:r>
          <w:r w:rsidR="005563B9">
            <w:rPr>
              <w:rFonts w:ascii="Calibri" w:eastAsia="Calibri" w:hAnsi="Calibri" w:cs="Times New Roman"/>
              <w:noProof/>
            </w:rPr>
            <w:pict w14:anchorId="75642DB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1.55pt;height:41.3pt;visibility:visible">
                <v:imagedata r:id="rId2" r:href="rId3"/>
              </v:shape>
            </w:pict>
          </w:r>
          <w:r w:rsidR="005563B9">
            <w:rPr>
              <w:rFonts w:ascii="Calibri" w:eastAsia="Calibri" w:hAnsi="Calibri" w:cs="Times New Roman"/>
              <w:noProof/>
            </w:rPr>
            <w:fldChar w:fldCharType="end"/>
          </w:r>
          <w:r w:rsidR="00917710">
            <w:rPr>
              <w:rFonts w:ascii="Calibri" w:eastAsia="Calibri" w:hAnsi="Calibri" w:cs="Times New Roman"/>
              <w:noProof/>
            </w:rPr>
            <w:fldChar w:fldCharType="end"/>
          </w:r>
          <w:r w:rsidR="007350D4">
            <w:rPr>
              <w:rFonts w:ascii="Calibri" w:eastAsia="Calibri" w:hAnsi="Calibri" w:cs="Times New Roman"/>
              <w:noProof/>
            </w:rPr>
            <w:fldChar w:fldCharType="end"/>
          </w:r>
          <w:r w:rsidR="0050391E">
            <w:rPr>
              <w:rFonts w:ascii="Calibri" w:eastAsia="Calibri" w:hAnsi="Calibri" w:cs="Times New Roman"/>
              <w:noProof/>
            </w:rPr>
            <w:fldChar w:fldCharType="end"/>
          </w:r>
          <w:r w:rsidR="00274ADA">
            <w:rPr>
              <w:rFonts w:ascii="Calibri" w:eastAsia="Calibri" w:hAnsi="Calibri" w:cs="Times New Roman"/>
              <w:noProof/>
            </w:rPr>
            <w:fldChar w:fldCharType="end"/>
          </w:r>
          <w:r w:rsidR="008235E1">
            <w:rPr>
              <w:rFonts w:ascii="Calibri" w:eastAsia="Calibri" w:hAnsi="Calibri" w:cs="Times New Roman"/>
              <w:noProof/>
            </w:rPr>
            <w:fldChar w:fldCharType="end"/>
          </w:r>
          <w:r w:rsidR="004B134E">
            <w:rPr>
              <w:rFonts w:ascii="Calibri" w:eastAsia="Calibri" w:hAnsi="Calibri" w:cs="Times New Roman"/>
              <w:noProof/>
            </w:rPr>
            <w:fldChar w:fldCharType="end"/>
          </w:r>
          <w:r w:rsidR="00312984">
            <w:rPr>
              <w:rFonts w:ascii="Calibri" w:eastAsia="Calibri" w:hAnsi="Calibri" w:cs="Times New Roman"/>
              <w:noProof/>
            </w:rPr>
            <w:fldChar w:fldCharType="end"/>
          </w:r>
          <w:r w:rsidR="0035502D">
            <w:rPr>
              <w:rFonts w:ascii="Calibri" w:eastAsia="Calibri" w:hAnsi="Calibri" w:cs="Times New Roman"/>
              <w:noProof/>
            </w:rPr>
            <w:fldChar w:fldCharType="end"/>
          </w:r>
          <w:r w:rsidR="00041A0E">
            <w:rPr>
              <w:rFonts w:ascii="Calibri" w:eastAsia="Calibri" w:hAnsi="Calibri" w:cs="Times New Roman"/>
              <w:noProof/>
            </w:rPr>
            <w:fldChar w:fldCharType="end"/>
          </w:r>
          <w:r w:rsidR="00120A86">
            <w:rPr>
              <w:rFonts w:ascii="Calibri" w:eastAsia="Calibri" w:hAnsi="Calibri" w:cs="Times New Roman"/>
              <w:noProof/>
            </w:rPr>
            <w:fldChar w:fldCharType="end"/>
          </w:r>
          <w:r w:rsidR="00B711DC">
            <w:rPr>
              <w:rFonts w:ascii="Calibri" w:eastAsia="Calibri" w:hAnsi="Calibri" w:cs="Times New Roman"/>
              <w:noProof/>
            </w:rPr>
            <w:fldChar w:fldCharType="end"/>
          </w:r>
          <w:r w:rsidR="000B3FDA">
            <w:rPr>
              <w:rFonts w:ascii="Calibri" w:eastAsia="Calibri" w:hAnsi="Calibri" w:cs="Times New Roman"/>
              <w:noProof/>
            </w:rPr>
            <w:fldChar w:fldCharType="end"/>
          </w:r>
          <w:r w:rsidR="0052350C">
            <w:rPr>
              <w:rFonts w:ascii="Calibri" w:eastAsia="Calibri" w:hAnsi="Calibri" w:cs="Times New Roman"/>
              <w:noProof/>
            </w:rPr>
            <w:fldChar w:fldCharType="end"/>
          </w:r>
          <w:r w:rsidR="00B90781">
            <w:rPr>
              <w:rFonts w:ascii="Calibri" w:eastAsia="Calibri" w:hAnsi="Calibri" w:cs="Times New Roman"/>
              <w:noProof/>
            </w:rPr>
            <w:fldChar w:fldCharType="end"/>
          </w:r>
          <w:r w:rsidR="00AD0EF8">
            <w:rPr>
              <w:rFonts w:ascii="Calibri" w:eastAsia="Calibri" w:hAnsi="Calibri" w:cs="Times New Roman"/>
              <w:noProof/>
            </w:rPr>
            <w:fldChar w:fldCharType="end"/>
          </w:r>
          <w:r w:rsidR="0001335E">
            <w:rPr>
              <w:rFonts w:ascii="Calibri" w:eastAsia="Calibri" w:hAnsi="Calibri" w:cs="Times New Roman"/>
              <w:noProof/>
            </w:rPr>
            <w:fldChar w:fldCharType="end"/>
          </w:r>
          <w:r w:rsidR="00EC4041">
            <w:rPr>
              <w:rFonts w:ascii="Calibri" w:eastAsia="Calibri" w:hAnsi="Calibri" w:cs="Times New Roman"/>
              <w:noProof/>
            </w:rPr>
            <w:fldChar w:fldCharType="end"/>
          </w:r>
          <w:r w:rsidR="000D4C7B">
            <w:rPr>
              <w:rFonts w:ascii="Calibri" w:eastAsia="Calibri" w:hAnsi="Calibri" w:cs="Times New Roman"/>
              <w:noProof/>
            </w:rPr>
            <w:fldChar w:fldCharType="end"/>
          </w:r>
          <w:r w:rsidR="009271BE">
            <w:rPr>
              <w:rFonts w:ascii="Calibri" w:eastAsia="Calibri" w:hAnsi="Calibri" w:cs="Times New Roman"/>
              <w:noProof/>
            </w:rPr>
            <w:fldChar w:fldCharType="end"/>
          </w:r>
          <w:r w:rsidR="00C2521C">
            <w:rPr>
              <w:rFonts w:ascii="Calibri" w:eastAsia="Calibri" w:hAnsi="Calibri" w:cs="Times New Roman"/>
              <w:noProof/>
            </w:rPr>
            <w:fldChar w:fldCharType="end"/>
          </w:r>
          <w:r w:rsidR="00B453C3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14:paraId="78628B16" w14:textId="4D8A6882" w:rsidR="003D42A1" w:rsidRDefault="003D42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1753D" w14:textId="3DD2D926" w:rsidR="00796042" w:rsidRDefault="007960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91766A"/>
    <w:multiLevelType w:val="hybridMultilevel"/>
    <w:tmpl w:val="6F8EF3BE"/>
    <w:lvl w:ilvl="0" w:tplc="63066236">
      <w:start w:val="7"/>
      <w:numFmt w:val="bullet"/>
      <w:lvlText w:val="-"/>
      <w:lvlJc w:val="left"/>
      <w:pPr>
        <w:ind w:left="46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" w15:restartNumberingAfterBreak="0">
    <w:nsid w:val="509E00AE"/>
    <w:multiLevelType w:val="hybridMultilevel"/>
    <w:tmpl w:val="6E066DD4"/>
    <w:lvl w:ilvl="0" w:tplc="04020001">
      <w:start w:val="1"/>
      <w:numFmt w:val="bullet"/>
      <w:lvlText w:val=""/>
      <w:lvlJc w:val="left"/>
      <w:pPr>
        <w:ind w:left="11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7A6"/>
    <w:rsid w:val="00012EB1"/>
    <w:rsid w:val="0001335E"/>
    <w:rsid w:val="00013A6A"/>
    <w:rsid w:val="000155C4"/>
    <w:rsid w:val="00034F8B"/>
    <w:rsid w:val="00041A0E"/>
    <w:rsid w:val="000512DE"/>
    <w:rsid w:val="00057F69"/>
    <w:rsid w:val="0006627E"/>
    <w:rsid w:val="00086814"/>
    <w:rsid w:val="000916DB"/>
    <w:rsid w:val="000956DC"/>
    <w:rsid w:val="000B3FDA"/>
    <w:rsid w:val="000C71D3"/>
    <w:rsid w:val="000D4C7B"/>
    <w:rsid w:val="000E53DE"/>
    <w:rsid w:val="00104D0B"/>
    <w:rsid w:val="001078CF"/>
    <w:rsid w:val="00120A86"/>
    <w:rsid w:val="00122A4A"/>
    <w:rsid w:val="0012471B"/>
    <w:rsid w:val="00126A34"/>
    <w:rsid w:val="001373C5"/>
    <w:rsid w:val="0019246F"/>
    <w:rsid w:val="001C240F"/>
    <w:rsid w:val="001C3D91"/>
    <w:rsid w:val="001C7BED"/>
    <w:rsid w:val="001D0806"/>
    <w:rsid w:val="001E24D3"/>
    <w:rsid w:val="001F74F8"/>
    <w:rsid w:val="00214156"/>
    <w:rsid w:val="00227B8D"/>
    <w:rsid w:val="00227CF8"/>
    <w:rsid w:val="0023211E"/>
    <w:rsid w:val="00242FAA"/>
    <w:rsid w:val="002430F6"/>
    <w:rsid w:val="00251BA9"/>
    <w:rsid w:val="0025584A"/>
    <w:rsid w:val="00274ADA"/>
    <w:rsid w:val="00282CE1"/>
    <w:rsid w:val="00285C3F"/>
    <w:rsid w:val="002A23E9"/>
    <w:rsid w:val="002B1B9E"/>
    <w:rsid w:val="002C33F8"/>
    <w:rsid w:val="002D591A"/>
    <w:rsid w:val="002D7CA0"/>
    <w:rsid w:val="002E36ED"/>
    <w:rsid w:val="00303FBC"/>
    <w:rsid w:val="003062B8"/>
    <w:rsid w:val="00312984"/>
    <w:rsid w:val="00321527"/>
    <w:rsid w:val="00321CC3"/>
    <w:rsid w:val="00331EA4"/>
    <w:rsid w:val="0035502D"/>
    <w:rsid w:val="0036282C"/>
    <w:rsid w:val="00374759"/>
    <w:rsid w:val="00374AC8"/>
    <w:rsid w:val="0038450B"/>
    <w:rsid w:val="00385504"/>
    <w:rsid w:val="00387295"/>
    <w:rsid w:val="00390C81"/>
    <w:rsid w:val="00393697"/>
    <w:rsid w:val="003969A2"/>
    <w:rsid w:val="003A153D"/>
    <w:rsid w:val="003A61C0"/>
    <w:rsid w:val="003B0361"/>
    <w:rsid w:val="003C4D48"/>
    <w:rsid w:val="003C6A23"/>
    <w:rsid w:val="003D42A1"/>
    <w:rsid w:val="00400795"/>
    <w:rsid w:val="004012B1"/>
    <w:rsid w:val="0041121F"/>
    <w:rsid w:val="00414F9D"/>
    <w:rsid w:val="00435C76"/>
    <w:rsid w:val="00442700"/>
    <w:rsid w:val="004472B3"/>
    <w:rsid w:val="00456087"/>
    <w:rsid w:val="004632A2"/>
    <w:rsid w:val="0046717D"/>
    <w:rsid w:val="00473494"/>
    <w:rsid w:val="0048628B"/>
    <w:rsid w:val="004A48F9"/>
    <w:rsid w:val="004B134E"/>
    <w:rsid w:val="004B521C"/>
    <w:rsid w:val="004C4530"/>
    <w:rsid w:val="004C58A9"/>
    <w:rsid w:val="004E04BA"/>
    <w:rsid w:val="004E5BD4"/>
    <w:rsid w:val="004E66A6"/>
    <w:rsid w:val="004F0260"/>
    <w:rsid w:val="004F3C87"/>
    <w:rsid w:val="0050391E"/>
    <w:rsid w:val="00515E0F"/>
    <w:rsid w:val="00517C82"/>
    <w:rsid w:val="005207C8"/>
    <w:rsid w:val="0052350C"/>
    <w:rsid w:val="00524030"/>
    <w:rsid w:val="0054607E"/>
    <w:rsid w:val="005563B9"/>
    <w:rsid w:val="00565E4D"/>
    <w:rsid w:val="005728F7"/>
    <w:rsid w:val="00575EFB"/>
    <w:rsid w:val="00587326"/>
    <w:rsid w:val="00596117"/>
    <w:rsid w:val="005971DA"/>
    <w:rsid w:val="005A0109"/>
    <w:rsid w:val="005A3F74"/>
    <w:rsid w:val="005E2301"/>
    <w:rsid w:val="005E67EB"/>
    <w:rsid w:val="005F0220"/>
    <w:rsid w:val="005F6D95"/>
    <w:rsid w:val="00601541"/>
    <w:rsid w:val="00644DFD"/>
    <w:rsid w:val="00651EA7"/>
    <w:rsid w:val="00654B71"/>
    <w:rsid w:val="00656FCF"/>
    <w:rsid w:val="00663219"/>
    <w:rsid w:val="006660CC"/>
    <w:rsid w:val="00671F45"/>
    <w:rsid w:val="00697BC0"/>
    <w:rsid w:val="006A754E"/>
    <w:rsid w:val="006B5449"/>
    <w:rsid w:val="006B7079"/>
    <w:rsid w:val="006C1D84"/>
    <w:rsid w:val="006E3049"/>
    <w:rsid w:val="006F34B1"/>
    <w:rsid w:val="006F79A2"/>
    <w:rsid w:val="00701CC2"/>
    <w:rsid w:val="00713CF1"/>
    <w:rsid w:val="0071426D"/>
    <w:rsid w:val="00727B55"/>
    <w:rsid w:val="007350D4"/>
    <w:rsid w:val="00735AA1"/>
    <w:rsid w:val="007379C9"/>
    <w:rsid w:val="007805E5"/>
    <w:rsid w:val="00785B4D"/>
    <w:rsid w:val="00796042"/>
    <w:rsid w:val="007A4FD4"/>
    <w:rsid w:val="007A6366"/>
    <w:rsid w:val="007C6EB7"/>
    <w:rsid w:val="007D236B"/>
    <w:rsid w:val="007E0F88"/>
    <w:rsid w:val="007F3426"/>
    <w:rsid w:val="008235E1"/>
    <w:rsid w:val="00830449"/>
    <w:rsid w:val="00843E07"/>
    <w:rsid w:val="008537A8"/>
    <w:rsid w:val="00860472"/>
    <w:rsid w:val="00881007"/>
    <w:rsid w:val="00886093"/>
    <w:rsid w:val="008873DD"/>
    <w:rsid w:val="00895365"/>
    <w:rsid w:val="008B389D"/>
    <w:rsid w:val="008B7E51"/>
    <w:rsid w:val="008C50EC"/>
    <w:rsid w:val="008E2F40"/>
    <w:rsid w:val="008E7214"/>
    <w:rsid w:val="00917065"/>
    <w:rsid w:val="00917710"/>
    <w:rsid w:val="009201E5"/>
    <w:rsid w:val="00923521"/>
    <w:rsid w:val="009271BE"/>
    <w:rsid w:val="009317D4"/>
    <w:rsid w:val="00942713"/>
    <w:rsid w:val="0097715B"/>
    <w:rsid w:val="0098077C"/>
    <w:rsid w:val="00984097"/>
    <w:rsid w:val="00986DBE"/>
    <w:rsid w:val="009B2129"/>
    <w:rsid w:val="009B6FFE"/>
    <w:rsid w:val="009C19FA"/>
    <w:rsid w:val="009C6303"/>
    <w:rsid w:val="009D09D3"/>
    <w:rsid w:val="009F5D2B"/>
    <w:rsid w:val="009F7BBB"/>
    <w:rsid w:val="00A00FCA"/>
    <w:rsid w:val="00A035EF"/>
    <w:rsid w:val="00A138FD"/>
    <w:rsid w:val="00A177C4"/>
    <w:rsid w:val="00A2087F"/>
    <w:rsid w:val="00A23814"/>
    <w:rsid w:val="00A400C0"/>
    <w:rsid w:val="00A4554E"/>
    <w:rsid w:val="00A70B0B"/>
    <w:rsid w:val="00A8420E"/>
    <w:rsid w:val="00A87F8D"/>
    <w:rsid w:val="00AB07FA"/>
    <w:rsid w:val="00AD0EF8"/>
    <w:rsid w:val="00AD1AB2"/>
    <w:rsid w:val="00AE2D43"/>
    <w:rsid w:val="00AE3534"/>
    <w:rsid w:val="00B076AA"/>
    <w:rsid w:val="00B32F7E"/>
    <w:rsid w:val="00B453C3"/>
    <w:rsid w:val="00B455C0"/>
    <w:rsid w:val="00B56DBA"/>
    <w:rsid w:val="00B60EA6"/>
    <w:rsid w:val="00B711DC"/>
    <w:rsid w:val="00B8456C"/>
    <w:rsid w:val="00B90781"/>
    <w:rsid w:val="00BA7DA4"/>
    <w:rsid w:val="00BA7F11"/>
    <w:rsid w:val="00BD0C83"/>
    <w:rsid w:val="00BD1A7A"/>
    <w:rsid w:val="00BE2BF1"/>
    <w:rsid w:val="00BF06B4"/>
    <w:rsid w:val="00BF5477"/>
    <w:rsid w:val="00C000E3"/>
    <w:rsid w:val="00C04668"/>
    <w:rsid w:val="00C227CB"/>
    <w:rsid w:val="00C2521C"/>
    <w:rsid w:val="00C33A5D"/>
    <w:rsid w:val="00C44E76"/>
    <w:rsid w:val="00C8201A"/>
    <w:rsid w:val="00CB0ECD"/>
    <w:rsid w:val="00CD6FB5"/>
    <w:rsid w:val="00CF5FB2"/>
    <w:rsid w:val="00D00096"/>
    <w:rsid w:val="00D2260D"/>
    <w:rsid w:val="00D27577"/>
    <w:rsid w:val="00D45EF7"/>
    <w:rsid w:val="00D51210"/>
    <w:rsid w:val="00D5366B"/>
    <w:rsid w:val="00D734A1"/>
    <w:rsid w:val="00D77738"/>
    <w:rsid w:val="00D80199"/>
    <w:rsid w:val="00D82EBF"/>
    <w:rsid w:val="00D9436F"/>
    <w:rsid w:val="00D96BA4"/>
    <w:rsid w:val="00DB42F3"/>
    <w:rsid w:val="00DB72C9"/>
    <w:rsid w:val="00DC03AB"/>
    <w:rsid w:val="00DD0952"/>
    <w:rsid w:val="00DD42B1"/>
    <w:rsid w:val="00DE7655"/>
    <w:rsid w:val="00DF0678"/>
    <w:rsid w:val="00DF0F93"/>
    <w:rsid w:val="00E07783"/>
    <w:rsid w:val="00E15221"/>
    <w:rsid w:val="00E70625"/>
    <w:rsid w:val="00E81E4A"/>
    <w:rsid w:val="00E90ED1"/>
    <w:rsid w:val="00E972BC"/>
    <w:rsid w:val="00EB168B"/>
    <w:rsid w:val="00EB2A77"/>
    <w:rsid w:val="00EB7104"/>
    <w:rsid w:val="00EC4041"/>
    <w:rsid w:val="00ED5E2F"/>
    <w:rsid w:val="00EE3FF1"/>
    <w:rsid w:val="00EE6795"/>
    <w:rsid w:val="00EF3405"/>
    <w:rsid w:val="00EF503A"/>
    <w:rsid w:val="00F0444D"/>
    <w:rsid w:val="00F31F52"/>
    <w:rsid w:val="00F34007"/>
    <w:rsid w:val="00F54304"/>
    <w:rsid w:val="00F60325"/>
    <w:rsid w:val="00F62D76"/>
    <w:rsid w:val="00F75289"/>
    <w:rsid w:val="00F770DC"/>
    <w:rsid w:val="00F83128"/>
    <w:rsid w:val="00FA0D33"/>
    <w:rsid w:val="00FA707A"/>
    <w:rsid w:val="00FB146A"/>
    <w:rsid w:val="00FB67A6"/>
    <w:rsid w:val="00FC6126"/>
    <w:rsid w:val="00FD129D"/>
    <w:rsid w:val="00FD43EB"/>
    <w:rsid w:val="00FF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2BA18F8"/>
  <w15:chartTrackingRefBased/>
  <w15:docId w15:val="{4CAB4013-07F8-4883-8D3F-A3BA822D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7A6"/>
  </w:style>
  <w:style w:type="paragraph" w:styleId="Footer">
    <w:name w:val="footer"/>
    <w:basedOn w:val="Normal"/>
    <w:link w:val="Foot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7A6"/>
  </w:style>
  <w:style w:type="character" w:styleId="CommentReference">
    <w:name w:val="annotation reference"/>
    <w:basedOn w:val="DefaultParagraphFont"/>
    <w:uiPriority w:val="99"/>
    <w:semiHidden/>
    <w:unhideWhenUsed/>
    <w:rsid w:val="00FB6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7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7A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414F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414F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F9D"/>
    <w:rPr>
      <w:vertAlign w:val="superscript"/>
    </w:rPr>
  </w:style>
  <w:style w:type="paragraph" w:styleId="Revision">
    <w:name w:val="Revision"/>
    <w:hidden/>
    <w:uiPriority w:val="99"/>
    <w:semiHidden/>
    <w:rsid w:val="0044270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70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700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70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C33A5D"/>
    <w:pPr>
      <w:ind w:left="720"/>
      <w:contextualSpacing/>
    </w:pPr>
  </w:style>
  <w:style w:type="paragraph" w:customStyle="1" w:styleId="Default">
    <w:name w:val="Default"/>
    <w:rsid w:val="00A238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DA5CD-3240-4188-B2DF-1B0C3CEA5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2316</Words>
  <Characters>13203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11</cp:revision>
  <dcterms:created xsi:type="dcterms:W3CDTF">2025-07-18T11:41:00Z</dcterms:created>
  <dcterms:modified xsi:type="dcterms:W3CDTF">2025-08-05T09:07:00Z</dcterms:modified>
</cp:coreProperties>
</file>